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80A54" w14:textId="77777777" w:rsidR="00236D6C" w:rsidRPr="00F44420" w:rsidRDefault="00236D6C" w:rsidP="00F44420">
      <w:pPr>
        <w:spacing w:after="0" w:line="240" w:lineRule="auto"/>
        <w:jc w:val="center"/>
        <w:rPr>
          <w:rFonts w:ascii="Times New Roman" w:hAnsi="Times New Roman" w:cs="Times New Roman"/>
          <w:b/>
          <w:bCs/>
          <w:i/>
          <w:iCs/>
          <w:sz w:val="28"/>
          <w:szCs w:val="28"/>
          <w:lang w:val="fr-FR"/>
        </w:rPr>
      </w:pPr>
    </w:p>
    <w:p w14:paraId="77C7A7CC" w14:textId="2D811CEA" w:rsidR="003142B3" w:rsidRPr="00F44420" w:rsidRDefault="00E83932" w:rsidP="00F44420">
      <w:pPr>
        <w:spacing w:after="0" w:line="240" w:lineRule="auto"/>
        <w:jc w:val="center"/>
        <w:rPr>
          <w:rFonts w:ascii="Times New Roman" w:hAnsi="Times New Roman" w:cs="Times New Roman"/>
          <w:b/>
          <w:bCs/>
          <w:i/>
          <w:iCs/>
          <w:sz w:val="28"/>
          <w:szCs w:val="28"/>
          <w:lang w:val="fr-FR"/>
        </w:rPr>
      </w:pPr>
      <w:r w:rsidRPr="00F44420">
        <w:rPr>
          <w:rFonts w:ascii="Times New Roman" w:hAnsi="Times New Roman" w:cs="Times New Roman"/>
          <w:b/>
          <w:bCs/>
          <w:i/>
          <w:iCs/>
          <w:sz w:val="28"/>
          <w:szCs w:val="28"/>
          <w:lang w:val="fr-FR"/>
        </w:rPr>
        <w:t>Deuxième Conférence Arabe sur le Foncier</w:t>
      </w:r>
    </w:p>
    <w:p w14:paraId="35134A83" w14:textId="77777777" w:rsidR="00231F87" w:rsidRPr="00F44420" w:rsidRDefault="00231F87" w:rsidP="00F44420">
      <w:pPr>
        <w:spacing w:after="100" w:line="240" w:lineRule="auto"/>
        <w:rPr>
          <w:rFonts w:ascii="Times New Roman" w:hAnsi="Times New Roman" w:cs="Times New Roman"/>
          <w:b/>
          <w:bCs/>
          <w:sz w:val="4"/>
          <w:szCs w:val="4"/>
          <w:lang w:val="fr-FR"/>
        </w:rPr>
      </w:pPr>
    </w:p>
    <w:p w14:paraId="727D54AA" w14:textId="6C51E3C0" w:rsidR="00002438" w:rsidRPr="00F44420" w:rsidRDefault="00E83932" w:rsidP="00F44420">
      <w:pPr>
        <w:spacing w:line="240" w:lineRule="auto"/>
        <w:jc w:val="center"/>
        <w:rPr>
          <w:rFonts w:ascii="Times New Roman" w:hAnsi="Times New Roman" w:cs="Times New Roman"/>
          <w:b/>
          <w:bCs/>
          <w:sz w:val="28"/>
          <w:szCs w:val="28"/>
          <w:u w:val="single"/>
          <w:lang w:val="fr-FR"/>
        </w:rPr>
      </w:pPr>
      <w:r w:rsidRPr="00F44420">
        <w:rPr>
          <w:rFonts w:ascii="Times New Roman" w:hAnsi="Times New Roman" w:cs="Times New Roman"/>
          <w:b/>
          <w:bCs/>
          <w:sz w:val="28"/>
          <w:szCs w:val="28"/>
          <w:u w:val="single"/>
          <w:lang w:val="fr-FR"/>
        </w:rPr>
        <w:t xml:space="preserve">Appel à communication </w:t>
      </w:r>
      <w:r w:rsidRPr="00F44420">
        <w:rPr>
          <w:rFonts w:ascii="Times New Roman" w:hAnsi="Times New Roman" w:cs="Times New Roman"/>
          <w:b/>
          <w:bCs/>
          <w:sz w:val="28"/>
          <w:szCs w:val="28"/>
          <w:u w:val="single"/>
          <w:lang w:val="fr-FR"/>
        </w:rPr>
        <w:br/>
      </w:r>
      <w:r w:rsidRPr="00F44420">
        <w:rPr>
          <w:rFonts w:ascii="Times New Roman" w:hAnsi="Times New Roman" w:cs="Times New Roman"/>
          <w:bCs/>
          <w:i/>
          <w:sz w:val="24"/>
          <w:szCs w:val="28"/>
          <w:lang w:val="fr-FR"/>
        </w:rPr>
        <w:t>(papiers à présenter lors de la conférence)</w:t>
      </w:r>
    </w:p>
    <w:p w14:paraId="5538E7DB" w14:textId="00A18909" w:rsidR="00002438" w:rsidRPr="00F44420" w:rsidRDefault="00002438" w:rsidP="00F44420">
      <w:pPr>
        <w:shd w:val="clear" w:color="auto" w:fill="D6E3BC" w:themeFill="accent3" w:themeFillTint="66"/>
        <w:spacing w:after="0" w:line="240" w:lineRule="auto"/>
        <w:ind w:left="-274" w:right="-360"/>
        <w:jc w:val="both"/>
        <w:rPr>
          <w:b/>
          <w:bCs/>
          <w:sz w:val="28"/>
          <w:szCs w:val="28"/>
          <w:lang w:val="fr-FR"/>
        </w:rPr>
      </w:pPr>
      <w:r w:rsidRPr="00F44420">
        <w:rPr>
          <w:b/>
          <w:bCs/>
          <w:sz w:val="28"/>
          <w:szCs w:val="28"/>
          <w:lang w:val="fr-FR"/>
        </w:rPr>
        <w:t>Introduction</w:t>
      </w:r>
    </w:p>
    <w:p w14:paraId="255013E8" w14:textId="456646A0" w:rsidR="00E83932" w:rsidRPr="00F44420" w:rsidRDefault="00E83932" w:rsidP="00F44420">
      <w:pPr>
        <w:pStyle w:val="Default"/>
        <w:ind w:left="-284" w:right="-279"/>
        <w:jc w:val="both"/>
        <w:rPr>
          <w:sz w:val="20"/>
          <w:szCs w:val="20"/>
        </w:rPr>
      </w:pPr>
      <w:r w:rsidRPr="00F44420">
        <w:rPr>
          <w:sz w:val="20"/>
          <w:szCs w:val="20"/>
        </w:rPr>
        <w:t xml:space="preserve">Le Gouvernement de la République arabe de l’Égypte a annoncé la tenue de la Deuxième Conférence Arabe sur le Foncier, organisée sous le patronage du ministre égyptien du Logement, des Services Publics et du Développement urbain et coordonnée par l’Institut de la formation et des études urbaines (UTI) en partenariat avec ONU-Habitat, le Réseau Mondial des Outils fonciers (GLTN), la Banque mondiale, la Société allemande pour la coopération internationale (GIZ) et le Département foncier de Dubaï. La conférence se tiendra en partie en présentiel et en partie en ligne et elle aura lieu les </w:t>
      </w:r>
      <w:r w:rsidRPr="00F44420">
        <w:rPr>
          <w:b/>
          <w:sz w:val="20"/>
          <w:szCs w:val="20"/>
        </w:rPr>
        <w:t xml:space="preserve">22, 23 et 24 février 2021 au Caire, en </w:t>
      </w:r>
      <w:r w:rsidR="00C44F2C" w:rsidRPr="00F44420">
        <w:rPr>
          <w:b/>
          <w:sz w:val="20"/>
          <w:szCs w:val="20"/>
        </w:rPr>
        <w:t>Égypte</w:t>
      </w:r>
      <w:r w:rsidRPr="00F44420">
        <w:rPr>
          <w:sz w:val="20"/>
          <w:szCs w:val="20"/>
        </w:rPr>
        <w:t>.</w:t>
      </w:r>
    </w:p>
    <w:p w14:paraId="0C18644E" w14:textId="77777777" w:rsidR="00E83932" w:rsidRPr="00F44420" w:rsidRDefault="00E83932" w:rsidP="00F44420">
      <w:pPr>
        <w:pStyle w:val="Default"/>
        <w:ind w:left="-284"/>
      </w:pPr>
    </w:p>
    <w:p w14:paraId="1E13B14E" w14:textId="1ECCC095" w:rsidR="00174DC5" w:rsidRPr="00F44420" w:rsidRDefault="00E83932" w:rsidP="00F44420">
      <w:pPr>
        <w:spacing w:line="240" w:lineRule="auto"/>
        <w:ind w:left="-270" w:right="-360"/>
        <w:jc w:val="both"/>
        <w:rPr>
          <w:sz w:val="20"/>
          <w:szCs w:val="20"/>
          <w:lang w:val="fr-FR"/>
        </w:rPr>
      </w:pPr>
      <w:r w:rsidRPr="00F44420">
        <w:rPr>
          <w:sz w:val="20"/>
          <w:szCs w:val="20"/>
          <w:lang w:val="fr-FR"/>
        </w:rPr>
        <w:t xml:space="preserve">Cette conférence marque une étape importante du projet d’établir une bonne gouvernance foncière dans la région arabe. Elle vise à promouvoir une bonne gestion et administration foncière en accentuant les </w:t>
      </w:r>
      <w:r w:rsidRPr="00F44420">
        <w:rPr>
          <w:b/>
          <w:sz w:val="20"/>
          <w:szCs w:val="20"/>
          <w:lang w:val="fr-FR"/>
        </w:rPr>
        <w:t>priorités</w:t>
      </w:r>
      <w:r w:rsidRPr="00F44420">
        <w:rPr>
          <w:sz w:val="20"/>
          <w:szCs w:val="20"/>
          <w:lang w:val="fr-FR"/>
        </w:rPr>
        <w:t xml:space="preserve"> de l’Initiative arabe du foncier : promouvoir la coopération et la coordination ; développer et partager les savoirs ; développer et renforcer les capacités des individus et des organisations ; et soutenir la mise en œuvre des programmes et interventions liés au foncier. La conférence représentera ainsi une plateforme afin de discuter des expériences de différents pays, de présenter de nouvelles recherches, de renforcer le soutien de haut niveau et l’appropriation pour aborder la gouvernance foncière et permettre aux acteurs du foncier de la région de s’émanciper et de développer leurs compétences. </w:t>
      </w:r>
      <w:r w:rsidR="00174DC5" w:rsidRPr="00F44420">
        <w:rPr>
          <w:sz w:val="20"/>
          <w:szCs w:val="20"/>
          <w:lang w:val="fr-FR"/>
        </w:rPr>
        <w:t xml:space="preserve"> </w:t>
      </w:r>
    </w:p>
    <w:p w14:paraId="0565A3B7" w14:textId="145F5592" w:rsidR="00002438" w:rsidRPr="00F44420" w:rsidRDefault="00D77EC5" w:rsidP="00F44420">
      <w:pPr>
        <w:shd w:val="clear" w:color="auto" w:fill="D6E3BC" w:themeFill="accent3" w:themeFillTint="66"/>
        <w:spacing w:after="0" w:line="240" w:lineRule="auto"/>
        <w:ind w:left="-274" w:right="-360"/>
        <w:jc w:val="both"/>
        <w:rPr>
          <w:b/>
          <w:bCs/>
          <w:sz w:val="28"/>
          <w:szCs w:val="28"/>
          <w:lang w:val="fr-FR"/>
        </w:rPr>
      </w:pPr>
      <w:r w:rsidRPr="00F44420">
        <w:rPr>
          <w:b/>
          <w:bCs/>
          <w:sz w:val="28"/>
          <w:szCs w:val="28"/>
          <w:lang w:val="fr-FR"/>
        </w:rPr>
        <w:t>Thèmes de la conférence</w:t>
      </w:r>
    </w:p>
    <w:p w14:paraId="2EC03FB7" w14:textId="7A337E03" w:rsidR="00D77EC5" w:rsidRPr="00F44420" w:rsidRDefault="00D77EC5" w:rsidP="00F44420">
      <w:pPr>
        <w:spacing w:line="240" w:lineRule="auto"/>
        <w:ind w:left="-284" w:right="-360"/>
        <w:jc w:val="both"/>
        <w:rPr>
          <w:sz w:val="20"/>
          <w:szCs w:val="20"/>
          <w:lang w:val="fr-FR"/>
        </w:rPr>
      </w:pPr>
      <w:r w:rsidRPr="00F44420">
        <w:rPr>
          <w:sz w:val="20"/>
          <w:szCs w:val="20"/>
          <w:lang w:val="fr-FR"/>
        </w:rPr>
        <w:t xml:space="preserve">Les experts et praticiens auront l’opportunité de proposer et de présenter des papiers qui abordent l’un ou plusieurs des huit thèmes de la conférence : </w:t>
      </w:r>
    </w:p>
    <w:p w14:paraId="25FF95B3" w14:textId="693ED069" w:rsidR="00D77EC5" w:rsidRPr="00F44420" w:rsidRDefault="00876C5A" w:rsidP="00F44420">
      <w:pPr>
        <w:pStyle w:val="ListParagraph"/>
        <w:numPr>
          <w:ilvl w:val="0"/>
          <w:numId w:val="14"/>
        </w:numPr>
        <w:spacing w:after="160" w:line="240" w:lineRule="auto"/>
        <w:ind w:left="720"/>
        <w:rPr>
          <w:sz w:val="20"/>
          <w:szCs w:val="20"/>
          <w:lang w:val="fr-FR"/>
        </w:rPr>
      </w:pPr>
      <w:r>
        <w:rPr>
          <w:sz w:val="20"/>
          <w:szCs w:val="20"/>
          <w:lang w:val="fr-FR"/>
        </w:rPr>
        <w:t xml:space="preserve">Gestion et </w:t>
      </w:r>
      <w:r w:rsidR="00D77EC5" w:rsidRPr="00F44420">
        <w:rPr>
          <w:sz w:val="20"/>
          <w:szCs w:val="20"/>
          <w:lang w:val="fr-FR"/>
        </w:rPr>
        <w:t>administration foncière</w:t>
      </w:r>
      <w:r>
        <w:rPr>
          <w:sz w:val="20"/>
          <w:szCs w:val="20"/>
          <w:lang w:val="fr-FR"/>
        </w:rPr>
        <w:t> : outils et pratiques</w:t>
      </w:r>
    </w:p>
    <w:p w14:paraId="591EC83F" w14:textId="278ECA49" w:rsidR="00D77EC5" w:rsidRPr="00F44420" w:rsidRDefault="004869BA" w:rsidP="00F44420">
      <w:pPr>
        <w:pStyle w:val="ListParagraph"/>
        <w:numPr>
          <w:ilvl w:val="0"/>
          <w:numId w:val="14"/>
        </w:numPr>
        <w:spacing w:after="160" w:line="240" w:lineRule="auto"/>
        <w:ind w:left="720"/>
        <w:rPr>
          <w:sz w:val="20"/>
          <w:szCs w:val="20"/>
          <w:lang w:val="fr-FR"/>
        </w:rPr>
      </w:pPr>
      <w:r>
        <w:rPr>
          <w:sz w:val="20"/>
          <w:szCs w:val="20"/>
          <w:lang w:val="fr-FR"/>
        </w:rPr>
        <w:t>Enregistrement des droits fonciers et de propriété : modernisation et réformes</w:t>
      </w:r>
    </w:p>
    <w:p w14:paraId="0CF4F906" w14:textId="10ABF2D6" w:rsidR="00D77EC5" w:rsidRPr="00F44420" w:rsidRDefault="004869BA" w:rsidP="00F44420">
      <w:pPr>
        <w:pStyle w:val="ListParagraph"/>
        <w:numPr>
          <w:ilvl w:val="0"/>
          <w:numId w:val="14"/>
        </w:numPr>
        <w:spacing w:after="160" w:line="240" w:lineRule="auto"/>
        <w:ind w:left="720"/>
        <w:rPr>
          <w:sz w:val="20"/>
          <w:szCs w:val="20"/>
          <w:lang w:val="fr-FR"/>
        </w:rPr>
      </w:pPr>
      <w:r>
        <w:rPr>
          <w:sz w:val="20"/>
          <w:szCs w:val="20"/>
          <w:lang w:val="fr-FR"/>
        </w:rPr>
        <w:t xml:space="preserve">Gestion foncière en temps de crise : conflits, changement climatique et épidémies </w:t>
      </w:r>
    </w:p>
    <w:p w14:paraId="2D021061" w14:textId="458A41FE" w:rsidR="00D77EC5" w:rsidRPr="00F44420" w:rsidRDefault="00D77EC5" w:rsidP="00F44420">
      <w:pPr>
        <w:pStyle w:val="ListParagraph"/>
        <w:numPr>
          <w:ilvl w:val="0"/>
          <w:numId w:val="14"/>
        </w:numPr>
        <w:spacing w:after="160" w:line="240" w:lineRule="auto"/>
        <w:ind w:left="720"/>
        <w:rPr>
          <w:sz w:val="20"/>
          <w:szCs w:val="20"/>
          <w:lang w:val="fr-FR"/>
        </w:rPr>
      </w:pPr>
      <w:r w:rsidRPr="00F44420">
        <w:rPr>
          <w:sz w:val="20"/>
          <w:szCs w:val="20"/>
          <w:lang w:val="fr-FR"/>
        </w:rPr>
        <w:t>L’accès au foncier par les femmes et les groupes vulnérables</w:t>
      </w:r>
      <w:r w:rsidR="004869BA">
        <w:rPr>
          <w:sz w:val="20"/>
          <w:szCs w:val="20"/>
          <w:lang w:val="fr-FR"/>
        </w:rPr>
        <w:t> : pratiques fructueuses et leçons apprises</w:t>
      </w:r>
    </w:p>
    <w:p w14:paraId="433B31BB" w14:textId="71A471FD" w:rsidR="00D77EC5" w:rsidRPr="00F44420" w:rsidRDefault="00D77EC5" w:rsidP="00F44420">
      <w:pPr>
        <w:pStyle w:val="ListParagraph"/>
        <w:numPr>
          <w:ilvl w:val="0"/>
          <w:numId w:val="14"/>
        </w:numPr>
        <w:spacing w:after="160" w:line="240" w:lineRule="auto"/>
        <w:ind w:left="720"/>
        <w:rPr>
          <w:sz w:val="20"/>
          <w:szCs w:val="20"/>
          <w:lang w:val="fr-FR"/>
        </w:rPr>
      </w:pPr>
      <w:r w:rsidRPr="00F44420">
        <w:rPr>
          <w:sz w:val="20"/>
          <w:szCs w:val="20"/>
          <w:lang w:val="fr-FR"/>
        </w:rPr>
        <w:t>L’utilisation efficient</w:t>
      </w:r>
      <w:r w:rsidR="004869BA">
        <w:rPr>
          <w:sz w:val="20"/>
          <w:szCs w:val="20"/>
          <w:lang w:val="fr-FR"/>
        </w:rPr>
        <w:t>e</w:t>
      </w:r>
      <w:r w:rsidRPr="00F44420">
        <w:rPr>
          <w:sz w:val="20"/>
          <w:szCs w:val="20"/>
          <w:lang w:val="fr-FR"/>
        </w:rPr>
        <w:t xml:space="preserve"> du foncier</w:t>
      </w:r>
      <w:r w:rsidR="004869BA">
        <w:rPr>
          <w:sz w:val="20"/>
          <w:szCs w:val="20"/>
          <w:lang w:val="fr-FR"/>
        </w:rPr>
        <w:t> : outils et pratiques</w:t>
      </w:r>
    </w:p>
    <w:p w14:paraId="50EF9A44" w14:textId="5CDCAEA7" w:rsidR="00D77EC5" w:rsidRPr="00F44420" w:rsidRDefault="004869BA" w:rsidP="00F44420">
      <w:pPr>
        <w:pStyle w:val="ListParagraph"/>
        <w:numPr>
          <w:ilvl w:val="0"/>
          <w:numId w:val="14"/>
        </w:numPr>
        <w:spacing w:after="160" w:line="240" w:lineRule="auto"/>
        <w:ind w:left="720"/>
        <w:rPr>
          <w:sz w:val="20"/>
          <w:szCs w:val="20"/>
          <w:lang w:val="fr-FR"/>
        </w:rPr>
      </w:pPr>
      <w:r>
        <w:rPr>
          <w:sz w:val="20"/>
          <w:szCs w:val="20"/>
          <w:lang w:val="fr-FR"/>
        </w:rPr>
        <w:t>Technologies</w:t>
      </w:r>
      <w:r w:rsidR="00D77EC5" w:rsidRPr="00F44420">
        <w:rPr>
          <w:sz w:val="20"/>
          <w:szCs w:val="20"/>
          <w:lang w:val="fr-FR"/>
        </w:rPr>
        <w:t xml:space="preserve"> et les solutions intelligentes</w:t>
      </w:r>
      <w:r>
        <w:rPr>
          <w:sz w:val="20"/>
          <w:szCs w:val="20"/>
          <w:lang w:val="fr-FR"/>
        </w:rPr>
        <w:t xml:space="preserve"> : </w:t>
      </w:r>
      <w:r w:rsidR="00D77EC5" w:rsidRPr="00F44420">
        <w:rPr>
          <w:sz w:val="20"/>
          <w:szCs w:val="20"/>
          <w:lang w:val="fr-FR"/>
        </w:rPr>
        <w:t xml:space="preserve">améliorer la gestion foncière, le développement des terres et la construction </w:t>
      </w:r>
    </w:p>
    <w:p w14:paraId="12FDF98C" w14:textId="76B989CE" w:rsidR="00D77EC5" w:rsidRPr="00F44420" w:rsidRDefault="0053567C" w:rsidP="00F44420">
      <w:pPr>
        <w:pStyle w:val="ListParagraph"/>
        <w:numPr>
          <w:ilvl w:val="0"/>
          <w:numId w:val="14"/>
        </w:numPr>
        <w:spacing w:after="160" w:line="240" w:lineRule="auto"/>
        <w:ind w:left="720"/>
        <w:rPr>
          <w:sz w:val="20"/>
          <w:szCs w:val="20"/>
          <w:lang w:val="fr-FR"/>
        </w:rPr>
      </w:pPr>
      <w:r>
        <w:rPr>
          <w:sz w:val="20"/>
          <w:szCs w:val="20"/>
          <w:lang w:val="fr-FR"/>
        </w:rPr>
        <w:t>L</w:t>
      </w:r>
      <w:r w:rsidR="00D77EC5" w:rsidRPr="00F44420">
        <w:rPr>
          <w:sz w:val="20"/>
          <w:szCs w:val="20"/>
          <w:lang w:val="fr-FR"/>
        </w:rPr>
        <w:t>a participation du secteur privé</w:t>
      </w:r>
      <w:r>
        <w:rPr>
          <w:sz w:val="20"/>
          <w:szCs w:val="20"/>
          <w:lang w:val="fr-FR"/>
        </w:rPr>
        <w:t> : politiques publiques et pratiques</w:t>
      </w:r>
    </w:p>
    <w:p w14:paraId="0BD602E9" w14:textId="03752DFB" w:rsidR="00A61006" w:rsidRPr="00F44420" w:rsidRDefault="0053567C" w:rsidP="00F44420">
      <w:pPr>
        <w:pStyle w:val="ListParagraph"/>
        <w:numPr>
          <w:ilvl w:val="0"/>
          <w:numId w:val="14"/>
        </w:numPr>
        <w:spacing w:after="160" w:line="240" w:lineRule="auto"/>
        <w:ind w:left="720"/>
        <w:rPr>
          <w:sz w:val="20"/>
          <w:szCs w:val="20"/>
          <w:lang w:val="fr-FR"/>
        </w:rPr>
      </w:pPr>
      <w:r>
        <w:rPr>
          <w:sz w:val="20"/>
          <w:szCs w:val="20"/>
          <w:lang w:val="fr-FR"/>
        </w:rPr>
        <w:t xml:space="preserve">Renforcer les capacités : des succès et des lacunes </w:t>
      </w:r>
    </w:p>
    <w:p w14:paraId="2D9A5B3A" w14:textId="62E04DB0" w:rsidR="00002438" w:rsidRPr="00F44420" w:rsidRDefault="00D77EC5" w:rsidP="00F44420">
      <w:pPr>
        <w:shd w:val="clear" w:color="auto" w:fill="D6E3BC" w:themeFill="accent3" w:themeFillTint="66"/>
        <w:spacing w:after="0" w:line="240" w:lineRule="auto"/>
        <w:ind w:left="-274" w:right="-360"/>
        <w:jc w:val="both"/>
        <w:rPr>
          <w:b/>
          <w:bCs/>
          <w:sz w:val="28"/>
          <w:szCs w:val="28"/>
          <w:lang w:val="fr-FR"/>
        </w:rPr>
      </w:pPr>
      <w:r w:rsidRPr="00F44420">
        <w:rPr>
          <w:b/>
          <w:bCs/>
          <w:sz w:val="28"/>
          <w:szCs w:val="28"/>
          <w:lang w:val="fr-FR"/>
        </w:rPr>
        <w:t>Proposition de papiers</w:t>
      </w:r>
    </w:p>
    <w:p w14:paraId="0FE0B64A" w14:textId="448BB5BD" w:rsidR="002447B5" w:rsidRPr="00F44420" w:rsidRDefault="00D77EC5" w:rsidP="00F44420">
      <w:pPr>
        <w:spacing w:before="240" w:line="240" w:lineRule="auto"/>
        <w:ind w:left="-274" w:right="-360"/>
        <w:jc w:val="both"/>
        <w:rPr>
          <w:rFonts w:cstheme="minorHAnsi"/>
          <w:sz w:val="20"/>
          <w:szCs w:val="20"/>
          <w:lang w:val="fr-FR"/>
        </w:rPr>
      </w:pPr>
      <w:r w:rsidRPr="00F44420">
        <w:rPr>
          <w:rFonts w:cstheme="minorHAnsi"/>
          <w:sz w:val="20"/>
          <w:szCs w:val="20"/>
          <w:lang w:val="fr-FR"/>
        </w:rPr>
        <w:t xml:space="preserve">La conférence </w:t>
      </w:r>
      <w:r w:rsidR="002447B5" w:rsidRPr="00F44420">
        <w:rPr>
          <w:rFonts w:cstheme="minorHAnsi"/>
          <w:sz w:val="20"/>
          <w:szCs w:val="20"/>
          <w:lang w:val="fr-FR"/>
        </w:rPr>
        <w:t xml:space="preserve">se composera de panels de haut niveau et de séances techniques. Les séances techniques s’inscrivent dans les huit thèmes de la conférence et elles seront animées. Elles se dérouleront pendant un créneau de 1.5 heures lors duquel des participants présenteront leurs papiers, soit en présentiel soit à distance. Des participants enregistrés peuvent soumettre des résumés qui seront lus, évalués et sélectionnés par le comité scientifique de la conférence. Tous les participants enregistrés sont éligibles pour soumettre des propositions de papier. Le processus de soumission et de </w:t>
      </w:r>
      <w:proofErr w:type="spellStart"/>
      <w:r w:rsidR="002447B5" w:rsidRPr="00F44420">
        <w:rPr>
          <w:rFonts w:cstheme="minorHAnsi"/>
          <w:sz w:val="20"/>
          <w:szCs w:val="20"/>
          <w:lang w:val="fr-FR"/>
        </w:rPr>
        <w:t>séléction</w:t>
      </w:r>
      <w:proofErr w:type="spellEnd"/>
      <w:r w:rsidR="002447B5" w:rsidRPr="00F44420">
        <w:rPr>
          <w:rFonts w:cstheme="minorHAnsi"/>
          <w:sz w:val="20"/>
          <w:szCs w:val="20"/>
          <w:lang w:val="fr-FR"/>
        </w:rPr>
        <w:t xml:space="preserve"> est décrit ci-dessous. </w:t>
      </w:r>
    </w:p>
    <w:p w14:paraId="56F25323" w14:textId="77777777" w:rsidR="00A61006" w:rsidRPr="00F44420" w:rsidRDefault="00A61006" w:rsidP="00F44420">
      <w:pPr>
        <w:spacing w:line="240" w:lineRule="auto"/>
        <w:ind w:right="-360"/>
        <w:jc w:val="both"/>
        <w:rPr>
          <w:rFonts w:cstheme="minorHAnsi"/>
          <w:sz w:val="20"/>
          <w:szCs w:val="20"/>
          <w:lang w:val="fr-FR"/>
        </w:rPr>
      </w:pPr>
    </w:p>
    <w:p w14:paraId="0B87F906" w14:textId="1714777E" w:rsidR="00002438" w:rsidRPr="00F44420" w:rsidRDefault="002447B5" w:rsidP="00F44420">
      <w:pPr>
        <w:shd w:val="clear" w:color="auto" w:fill="D6E3BC" w:themeFill="accent3" w:themeFillTint="66"/>
        <w:spacing w:after="0" w:line="240" w:lineRule="auto"/>
        <w:ind w:left="-274" w:right="-360"/>
        <w:jc w:val="both"/>
        <w:rPr>
          <w:b/>
          <w:bCs/>
          <w:sz w:val="28"/>
          <w:szCs w:val="28"/>
          <w:lang w:val="fr-FR"/>
        </w:rPr>
      </w:pPr>
      <w:r w:rsidRPr="00F44420">
        <w:rPr>
          <w:b/>
          <w:bCs/>
          <w:sz w:val="28"/>
          <w:szCs w:val="28"/>
          <w:lang w:val="fr-FR"/>
        </w:rPr>
        <w:t>Guide de soumission des propositions et délais</w:t>
      </w:r>
    </w:p>
    <w:p w14:paraId="0738E6F5" w14:textId="75BF6972" w:rsidR="002447B5" w:rsidRPr="00F44420" w:rsidRDefault="002447B5" w:rsidP="00F44420">
      <w:pPr>
        <w:spacing w:line="240" w:lineRule="auto"/>
        <w:ind w:left="-270" w:right="-360"/>
        <w:jc w:val="both"/>
        <w:rPr>
          <w:rFonts w:cstheme="minorHAnsi"/>
          <w:sz w:val="20"/>
          <w:szCs w:val="20"/>
          <w:lang w:val="fr-FR"/>
        </w:rPr>
      </w:pPr>
      <w:r w:rsidRPr="00F44420">
        <w:rPr>
          <w:rFonts w:cstheme="minorHAnsi"/>
          <w:sz w:val="20"/>
          <w:szCs w:val="20"/>
          <w:lang w:val="fr-FR"/>
        </w:rPr>
        <w:t xml:space="preserve">Le sujet d’une proposition de papier doit refléter un plusieurs </w:t>
      </w:r>
      <w:r w:rsidRPr="00F44420">
        <w:rPr>
          <w:rFonts w:cstheme="minorHAnsi"/>
          <w:b/>
          <w:sz w:val="20"/>
          <w:szCs w:val="20"/>
          <w:lang w:val="fr-FR"/>
        </w:rPr>
        <w:t>thèmes de la conférence</w:t>
      </w:r>
      <w:r w:rsidRPr="00F44420">
        <w:rPr>
          <w:rFonts w:cstheme="minorHAnsi"/>
          <w:sz w:val="20"/>
          <w:szCs w:val="20"/>
          <w:lang w:val="fr-FR"/>
        </w:rPr>
        <w:t xml:space="preserve"> et </w:t>
      </w:r>
      <w:r w:rsidRPr="00F44420">
        <w:rPr>
          <w:rFonts w:cstheme="minorHAnsi"/>
          <w:b/>
          <w:sz w:val="20"/>
          <w:szCs w:val="20"/>
          <w:lang w:val="fr-FR"/>
        </w:rPr>
        <w:t>porter sur la région arabe</w:t>
      </w:r>
      <w:r w:rsidRPr="00F44420">
        <w:rPr>
          <w:rFonts w:cstheme="minorHAnsi"/>
          <w:sz w:val="20"/>
          <w:szCs w:val="20"/>
          <w:lang w:val="fr-FR"/>
        </w:rPr>
        <w:t xml:space="preserve"> ou des contextes/pays spécifiques au sein de la région arabe</w:t>
      </w:r>
      <w:r w:rsidR="006975C4" w:rsidRPr="00F44420">
        <w:rPr>
          <w:rStyle w:val="FootnoteReference"/>
          <w:rFonts w:cstheme="minorHAnsi"/>
          <w:sz w:val="20"/>
          <w:szCs w:val="20"/>
          <w:lang w:val="fr-FR"/>
        </w:rPr>
        <w:footnoteReference w:id="1"/>
      </w:r>
      <w:r w:rsidRPr="00F44420">
        <w:rPr>
          <w:rFonts w:cstheme="minorHAnsi"/>
          <w:sz w:val="20"/>
          <w:szCs w:val="20"/>
          <w:lang w:val="fr-FR"/>
        </w:rPr>
        <w:t xml:space="preserve">. Des </w:t>
      </w:r>
      <w:r w:rsidR="006975C4" w:rsidRPr="00F44420">
        <w:rPr>
          <w:rFonts w:cstheme="minorHAnsi"/>
          <w:sz w:val="20"/>
          <w:szCs w:val="20"/>
          <w:lang w:val="fr-FR"/>
        </w:rPr>
        <w:t xml:space="preserve">papiers basés sur des </w:t>
      </w:r>
      <w:r w:rsidRPr="00F44420">
        <w:rPr>
          <w:rFonts w:cstheme="minorHAnsi"/>
          <w:sz w:val="20"/>
          <w:szCs w:val="20"/>
          <w:lang w:val="fr-FR"/>
        </w:rPr>
        <w:t xml:space="preserve">expériences internationales peuvent </w:t>
      </w:r>
      <w:r w:rsidRPr="00F44420">
        <w:rPr>
          <w:rFonts w:cstheme="minorHAnsi"/>
          <w:sz w:val="20"/>
          <w:szCs w:val="20"/>
          <w:lang w:val="fr-FR"/>
        </w:rPr>
        <w:lastRenderedPageBreak/>
        <w:t xml:space="preserve">également être proposées, </w:t>
      </w:r>
      <w:r w:rsidR="006975C4" w:rsidRPr="00F44420">
        <w:rPr>
          <w:rFonts w:cstheme="minorHAnsi"/>
          <w:sz w:val="20"/>
          <w:szCs w:val="20"/>
          <w:lang w:val="fr-FR"/>
        </w:rPr>
        <w:t xml:space="preserve">si les liens et l’importance pour la région arabe sont clairement expliqués. Les soumissions sont acceptées en anglais, en français et on arabe. Les résumés doivent être soumis en format </w:t>
      </w:r>
      <w:r w:rsidR="006975C4" w:rsidRPr="00F44420">
        <w:rPr>
          <w:rFonts w:cstheme="minorHAnsi"/>
          <w:b/>
          <w:sz w:val="20"/>
          <w:szCs w:val="20"/>
          <w:lang w:val="fr-FR"/>
        </w:rPr>
        <w:t>Word ou PDF</w:t>
      </w:r>
      <w:r w:rsidR="006975C4" w:rsidRPr="00F44420">
        <w:rPr>
          <w:rFonts w:cstheme="minorHAnsi"/>
          <w:sz w:val="20"/>
          <w:szCs w:val="20"/>
          <w:lang w:val="fr-FR"/>
        </w:rPr>
        <w:t>.</w:t>
      </w:r>
    </w:p>
    <w:p w14:paraId="4B3D3EBD" w14:textId="1E946573" w:rsidR="006975C4" w:rsidRPr="00F44420" w:rsidRDefault="006975C4" w:rsidP="00F44420">
      <w:pPr>
        <w:spacing w:line="240" w:lineRule="auto"/>
        <w:ind w:left="-270" w:right="-360"/>
        <w:jc w:val="both"/>
        <w:rPr>
          <w:rFonts w:cstheme="minorHAnsi"/>
          <w:sz w:val="20"/>
          <w:szCs w:val="20"/>
          <w:lang w:val="fr-FR"/>
        </w:rPr>
      </w:pPr>
      <w:r w:rsidRPr="00F44420">
        <w:rPr>
          <w:rFonts w:cstheme="minorHAnsi"/>
          <w:sz w:val="20"/>
          <w:szCs w:val="20"/>
          <w:lang w:val="fr-FR"/>
        </w:rPr>
        <w:t xml:space="preserve">Si vous êtes intéressés pour présenter un papier pour la Deuxième Conférence Arabe sur le Foncier, suivez </w:t>
      </w:r>
      <w:r w:rsidRPr="00F44420">
        <w:rPr>
          <w:rFonts w:cstheme="minorHAnsi"/>
          <w:b/>
          <w:sz w:val="20"/>
          <w:szCs w:val="20"/>
          <w:lang w:val="fr-FR"/>
        </w:rPr>
        <w:t>les étapes suivantes</w:t>
      </w:r>
      <w:r w:rsidRPr="00F44420">
        <w:rPr>
          <w:rFonts w:cstheme="minorHAnsi"/>
          <w:sz w:val="20"/>
          <w:szCs w:val="20"/>
          <w:lang w:val="fr-FR"/>
        </w:rPr>
        <w:t> :</w:t>
      </w:r>
    </w:p>
    <w:p w14:paraId="21F44494" w14:textId="6B488C50" w:rsidR="00AB356A" w:rsidRPr="00F44420" w:rsidRDefault="006975C4" w:rsidP="00F44420">
      <w:pPr>
        <w:pStyle w:val="ListParagraph"/>
        <w:numPr>
          <w:ilvl w:val="0"/>
          <w:numId w:val="15"/>
        </w:numPr>
        <w:spacing w:line="240" w:lineRule="auto"/>
        <w:ind w:right="-360"/>
        <w:rPr>
          <w:rFonts w:cstheme="minorHAnsi"/>
          <w:sz w:val="20"/>
          <w:szCs w:val="20"/>
          <w:lang w:val="fr-FR"/>
        </w:rPr>
      </w:pPr>
      <w:r w:rsidRPr="00F44420">
        <w:rPr>
          <w:rFonts w:cstheme="minorHAnsi"/>
          <w:b/>
          <w:bCs/>
          <w:sz w:val="20"/>
          <w:szCs w:val="20"/>
          <w:lang w:val="fr-FR"/>
        </w:rPr>
        <w:t xml:space="preserve">Effectuez votre enregistrement </w:t>
      </w:r>
      <w:r w:rsidRPr="00F44420">
        <w:rPr>
          <w:rFonts w:cstheme="minorHAnsi"/>
          <w:bCs/>
          <w:sz w:val="20"/>
          <w:szCs w:val="20"/>
          <w:lang w:val="fr-FR"/>
        </w:rPr>
        <w:t>pour participer à la conférence via le lien suivant</w:t>
      </w:r>
      <w:r w:rsidRPr="00F44420">
        <w:rPr>
          <w:rFonts w:cstheme="minorHAnsi"/>
          <w:sz w:val="20"/>
          <w:szCs w:val="20"/>
          <w:lang w:val="fr-FR"/>
        </w:rPr>
        <w:t xml:space="preserve"> </w:t>
      </w:r>
      <w:r w:rsidR="00AB356A" w:rsidRPr="00F44420">
        <w:rPr>
          <w:rFonts w:cstheme="minorHAnsi"/>
          <w:sz w:val="20"/>
          <w:szCs w:val="20"/>
          <w:lang w:val="fr-FR"/>
        </w:rPr>
        <w:t xml:space="preserve">: </w:t>
      </w:r>
      <w:r w:rsidR="000A1A9E" w:rsidRPr="00F44420">
        <w:rPr>
          <w:rFonts w:cstheme="minorHAnsi"/>
          <w:sz w:val="20"/>
          <w:szCs w:val="20"/>
          <w:u w:val="single"/>
          <w:lang w:val="fr-FR"/>
        </w:rPr>
        <w:t>https://arabstates.gltn.net/second-arab-land-conference/</w:t>
      </w:r>
    </w:p>
    <w:p w14:paraId="218A5ADD" w14:textId="49A8EE53" w:rsidR="00DA03A1" w:rsidRPr="00F44420" w:rsidRDefault="006975C4" w:rsidP="00F44420">
      <w:pPr>
        <w:pStyle w:val="ListParagraph"/>
        <w:numPr>
          <w:ilvl w:val="0"/>
          <w:numId w:val="15"/>
        </w:numPr>
        <w:spacing w:line="240" w:lineRule="auto"/>
        <w:ind w:right="-360"/>
        <w:jc w:val="both"/>
        <w:rPr>
          <w:rFonts w:cstheme="minorHAnsi"/>
          <w:sz w:val="20"/>
          <w:szCs w:val="20"/>
          <w:lang w:val="fr-FR"/>
        </w:rPr>
      </w:pPr>
      <w:r w:rsidRPr="00F44420">
        <w:rPr>
          <w:rFonts w:cstheme="minorHAnsi"/>
          <w:b/>
          <w:sz w:val="20"/>
          <w:szCs w:val="20"/>
          <w:lang w:val="fr-FR"/>
        </w:rPr>
        <w:t>Renseignez le formulaire</w:t>
      </w:r>
      <w:r w:rsidRPr="00F44420">
        <w:rPr>
          <w:rFonts w:cstheme="minorHAnsi"/>
          <w:sz w:val="20"/>
          <w:szCs w:val="20"/>
          <w:lang w:val="fr-FR"/>
        </w:rPr>
        <w:t xml:space="preserve"> de proposition de papier</w:t>
      </w:r>
      <w:r w:rsidR="00DA03A1" w:rsidRPr="00F44420">
        <w:rPr>
          <w:rFonts w:cstheme="minorHAnsi"/>
          <w:sz w:val="20"/>
          <w:szCs w:val="20"/>
          <w:lang w:val="fr-FR"/>
        </w:rPr>
        <w:t xml:space="preserve"> (</w:t>
      </w:r>
      <w:r w:rsidRPr="00F44420">
        <w:rPr>
          <w:rFonts w:cstheme="minorHAnsi"/>
          <w:sz w:val="20"/>
          <w:szCs w:val="20"/>
          <w:lang w:val="fr-FR"/>
        </w:rPr>
        <w:t>voir infra</w:t>
      </w:r>
      <w:r w:rsidR="00DA03A1" w:rsidRPr="00F44420">
        <w:rPr>
          <w:rFonts w:cstheme="minorHAnsi"/>
          <w:sz w:val="20"/>
          <w:szCs w:val="20"/>
          <w:lang w:val="fr-FR"/>
        </w:rPr>
        <w:t xml:space="preserve">) </w:t>
      </w:r>
      <w:r w:rsidRPr="00F44420">
        <w:rPr>
          <w:rFonts w:cstheme="minorHAnsi"/>
          <w:sz w:val="20"/>
          <w:szCs w:val="20"/>
          <w:lang w:val="fr-FR"/>
        </w:rPr>
        <w:t>en présentant le contenu de votre papier</w:t>
      </w:r>
      <w:r w:rsidR="00DA03A1" w:rsidRPr="00F44420">
        <w:rPr>
          <w:rFonts w:cstheme="minorHAnsi"/>
          <w:sz w:val="20"/>
          <w:szCs w:val="20"/>
          <w:lang w:val="fr-FR"/>
        </w:rPr>
        <w:t>.</w:t>
      </w:r>
    </w:p>
    <w:p w14:paraId="2436EC2D" w14:textId="293C6170" w:rsidR="00DA03A1" w:rsidRPr="00F44420" w:rsidRDefault="006975C4" w:rsidP="00F44420">
      <w:pPr>
        <w:pStyle w:val="ListParagraph"/>
        <w:numPr>
          <w:ilvl w:val="0"/>
          <w:numId w:val="15"/>
        </w:numPr>
        <w:spacing w:line="240" w:lineRule="auto"/>
        <w:ind w:right="-360"/>
        <w:jc w:val="both"/>
        <w:rPr>
          <w:rFonts w:cstheme="minorHAnsi"/>
          <w:sz w:val="20"/>
          <w:szCs w:val="20"/>
          <w:lang w:val="fr-FR"/>
        </w:rPr>
      </w:pPr>
      <w:r w:rsidRPr="00F44420">
        <w:rPr>
          <w:rFonts w:cstheme="minorHAnsi"/>
          <w:b/>
          <w:bCs/>
          <w:sz w:val="20"/>
          <w:szCs w:val="20"/>
          <w:lang w:val="fr-FR"/>
        </w:rPr>
        <w:t>Envoyez le formulaire rempli</w:t>
      </w:r>
      <w:r w:rsidR="00DA03A1" w:rsidRPr="00F44420">
        <w:rPr>
          <w:rFonts w:cstheme="minorHAnsi"/>
          <w:sz w:val="20"/>
          <w:szCs w:val="20"/>
          <w:lang w:val="fr-FR"/>
        </w:rPr>
        <w:t xml:space="preserve"> </w:t>
      </w:r>
      <w:r w:rsidRPr="00F44420">
        <w:rPr>
          <w:rFonts w:cstheme="minorHAnsi"/>
          <w:sz w:val="20"/>
          <w:szCs w:val="20"/>
          <w:lang w:val="fr-FR"/>
        </w:rPr>
        <w:t>en format Word ou PDF</w:t>
      </w:r>
      <w:r w:rsidR="00DA03A1" w:rsidRPr="00F44420">
        <w:rPr>
          <w:rFonts w:cstheme="minorHAnsi"/>
          <w:sz w:val="20"/>
          <w:szCs w:val="20"/>
          <w:lang w:val="fr-FR"/>
        </w:rPr>
        <w:t xml:space="preserve"> </w:t>
      </w:r>
      <w:r w:rsidRPr="00F44420">
        <w:rPr>
          <w:rFonts w:cstheme="minorHAnsi"/>
          <w:sz w:val="20"/>
          <w:szCs w:val="20"/>
          <w:lang w:val="fr-FR"/>
        </w:rPr>
        <w:t>par mail aux organisateurs de la conférence via l’adresse mail</w:t>
      </w:r>
      <w:r w:rsidR="00DA03A1" w:rsidRPr="00F44420">
        <w:rPr>
          <w:rFonts w:cstheme="minorHAnsi"/>
          <w:sz w:val="20"/>
          <w:szCs w:val="20"/>
          <w:lang w:val="fr-FR"/>
        </w:rPr>
        <w:t xml:space="preserve"> </w:t>
      </w:r>
      <w:hyperlink r:id="rId8" w:history="1">
        <w:r w:rsidR="008A4570" w:rsidRPr="00E305FE">
          <w:rPr>
            <w:rStyle w:val="Hyperlink"/>
            <w:rFonts w:cstheme="minorHAnsi"/>
            <w:sz w:val="20"/>
            <w:szCs w:val="20"/>
            <w:lang w:val="fr-FR"/>
          </w:rPr>
          <w:t>unhabitat-arablandinitiative@un.org</w:t>
        </w:r>
      </w:hyperlink>
      <w:r w:rsidRPr="00F44420">
        <w:rPr>
          <w:rFonts w:cstheme="minorHAnsi"/>
          <w:sz w:val="20"/>
          <w:szCs w:val="20"/>
          <w:lang w:val="fr-FR"/>
        </w:rPr>
        <w:t xml:space="preserve"> et en écrivant comme objet du mail </w:t>
      </w:r>
      <w:r w:rsidR="00DA03A1" w:rsidRPr="00F44420">
        <w:rPr>
          <w:rFonts w:cstheme="minorHAnsi"/>
          <w:sz w:val="20"/>
          <w:szCs w:val="20"/>
          <w:lang w:val="fr-FR"/>
        </w:rPr>
        <w:t>‘</w:t>
      </w:r>
      <w:r w:rsidRPr="00F44420">
        <w:rPr>
          <w:rFonts w:cstheme="minorHAnsi"/>
          <w:sz w:val="20"/>
          <w:szCs w:val="20"/>
          <w:lang w:val="fr-FR"/>
        </w:rPr>
        <w:t>Deuxième Conférence Arabe sur le Foncier</w:t>
      </w:r>
      <w:r w:rsidR="00DA03A1" w:rsidRPr="00F44420">
        <w:rPr>
          <w:rFonts w:cstheme="minorHAnsi"/>
          <w:sz w:val="20"/>
          <w:szCs w:val="20"/>
          <w:lang w:val="fr-FR"/>
        </w:rPr>
        <w:t xml:space="preserve"> – </w:t>
      </w:r>
      <w:r w:rsidRPr="00F44420">
        <w:rPr>
          <w:rFonts w:cstheme="minorHAnsi"/>
          <w:sz w:val="20"/>
          <w:szCs w:val="20"/>
          <w:lang w:val="fr-FR"/>
        </w:rPr>
        <w:t>Proposition de Papier</w:t>
      </w:r>
      <w:r w:rsidR="00DA03A1" w:rsidRPr="00F44420">
        <w:rPr>
          <w:rFonts w:cstheme="minorHAnsi"/>
          <w:sz w:val="20"/>
          <w:szCs w:val="20"/>
          <w:lang w:val="fr-FR"/>
        </w:rPr>
        <w:t xml:space="preserve">’. </w:t>
      </w:r>
    </w:p>
    <w:p w14:paraId="3CE8C665" w14:textId="24F322C0" w:rsidR="00DA03A1" w:rsidRPr="007C0180" w:rsidRDefault="006975C4" w:rsidP="00C52069">
      <w:pPr>
        <w:pStyle w:val="ListParagraph"/>
        <w:numPr>
          <w:ilvl w:val="0"/>
          <w:numId w:val="15"/>
        </w:numPr>
        <w:spacing w:line="240" w:lineRule="auto"/>
        <w:ind w:right="-360"/>
        <w:jc w:val="both"/>
        <w:rPr>
          <w:rFonts w:cstheme="minorHAnsi"/>
          <w:sz w:val="20"/>
          <w:szCs w:val="20"/>
          <w:lang w:val="fr-FR"/>
        </w:rPr>
      </w:pPr>
      <w:r w:rsidRPr="007C0180">
        <w:rPr>
          <w:rFonts w:cstheme="minorHAnsi"/>
          <w:sz w:val="20"/>
          <w:szCs w:val="20"/>
          <w:lang w:val="fr-FR"/>
        </w:rPr>
        <w:t xml:space="preserve">La </w:t>
      </w:r>
      <w:r w:rsidRPr="007C0180">
        <w:rPr>
          <w:rFonts w:cstheme="minorHAnsi"/>
          <w:b/>
          <w:sz w:val="20"/>
          <w:szCs w:val="20"/>
          <w:lang w:val="fr-FR"/>
        </w:rPr>
        <w:t>date limite</w:t>
      </w:r>
      <w:r w:rsidRPr="007C0180">
        <w:rPr>
          <w:rFonts w:cstheme="minorHAnsi"/>
          <w:sz w:val="20"/>
          <w:szCs w:val="20"/>
          <w:lang w:val="fr-FR"/>
        </w:rPr>
        <w:t xml:space="preserve"> pour la proposition des papiers</w:t>
      </w:r>
      <w:r w:rsidR="00DA03A1" w:rsidRPr="007C0180">
        <w:rPr>
          <w:rFonts w:cstheme="minorHAnsi"/>
          <w:sz w:val="20"/>
          <w:szCs w:val="20"/>
          <w:lang w:val="fr-FR"/>
        </w:rPr>
        <w:t xml:space="preserve"> </w:t>
      </w:r>
      <w:r w:rsidR="000D1AFC" w:rsidRPr="007C0180">
        <w:rPr>
          <w:rFonts w:cstheme="minorHAnsi"/>
          <w:bCs/>
          <w:sz w:val="20"/>
          <w:szCs w:val="20"/>
          <w:lang w:val="fr-FR"/>
        </w:rPr>
        <w:t>est fixé</w:t>
      </w:r>
      <w:r w:rsidRPr="007C0180">
        <w:rPr>
          <w:rFonts w:cstheme="minorHAnsi"/>
          <w:bCs/>
          <w:sz w:val="20"/>
          <w:szCs w:val="20"/>
          <w:lang w:val="fr-FR"/>
        </w:rPr>
        <w:t>e au</w:t>
      </w:r>
      <w:r w:rsidR="00DA03A1" w:rsidRPr="007C0180">
        <w:rPr>
          <w:rFonts w:cstheme="minorHAnsi"/>
          <w:b/>
          <w:bCs/>
          <w:sz w:val="20"/>
          <w:szCs w:val="20"/>
          <w:lang w:val="fr-FR"/>
        </w:rPr>
        <w:t xml:space="preserve"> </w:t>
      </w:r>
      <w:r w:rsidR="00F34A09" w:rsidRPr="007C0180">
        <w:rPr>
          <w:rFonts w:cstheme="minorHAnsi"/>
          <w:b/>
          <w:bCs/>
          <w:sz w:val="20"/>
          <w:szCs w:val="20"/>
          <w:lang w:val="fr-FR"/>
        </w:rPr>
        <w:t xml:space="preserve">14 </w:t>
      </w:r>
      <w:r w:rsidR="007C0180">
        <w:rPr>
          <w:rFonts w:cstheme="minorHAnsi"/>
          <w:b/>
          <w:bCs/>
          <w:sz w:val="20"/>
          <w:szCs w:val="20"/>
          <w:lang w:val="fr-FR"/>
        </w:rPr>
        <w:t>D</w:t>
      </w:r>
      <w:r w:rsidR="007C0180" w:rsidRPr="007C0180">
        <w:rPr>
          <w:rFonts w:cstheme="minorHAnsi"/>
          <w:b/>
          <w:bCs/>
          <w:sz w:val="20"/>
          <w:szCs w:val="20"/>
          <w:lang w:val="fr-FR"/>
        </w:rPr>
        <w:t>écembre</w:t>
      </w:r>
      <w:r w:rsidR="00DA03A1" w:rsidRPr="007C0180">
        <w:rPr>
          <w:rFonts w:cstheme="minorHAnsi"/>
          <w:b/>
          <w:bCs/>
          <w:sz w:val="20"/>
          <w:szCs w:val="20"/>
          <w:lang w:val="fr-FR"/>
        </w:rPr>
        <w:t>2020</w:t>
      </w:r>
      <w:r w:rsidR="00DA03A1" w:rsidRPr="007C0180">
        <w:rPr>
          <w:rFonts w:cstheme="minorHAnsi"/>
          <w:sz w:val="20"/>
          <w:szCs w:val="20"/>
          <w:lang w:val="fr-FR"/>
        </w:rPr>
        <w:t>.</w:t>
      </w:r>
    </w:p>
    <w:p w14:paraId="16461A75" w14:textId="75652F2E" w:rsidR="000D1AFC" w:rsidRPr="00F44420" w:rsidRDefault="000D1AFC" w:rsidP="00F44420">
      <w:pPr>
        <w:pStyle w:val="ListParagraph"/>
        <w:numPr>
          <w:ilvl w:val="0"/>
          <w:numId w:val="15"/>
        </w:numPr>
        <w:spacing w:line="240" w:lineRule="auto"/>
        <w:ind w:right="-360"/>
        <w:jc w:val="both"/>
        <w:rPr>
          <w:rFonts w:cstheme="minorHAnsi"/>
          <w:sz w:val="20"/>
          <w:szCs w:val="20"/>
          <w:lang w:val="fr-FR"/>
        </w:rPr>
      </w:pPr>
      <w:r w:rsidRPr="00F44420">
        <w:rPr>
          <w:rFonts w:cstheme="minorHAnsi"/>
          <w:sz w:val="20"/>
          <w:szCs w:val="20"/>
          <w:lang w:val="fr-FR"/>
        </w:rPr>
        <w:t xml:space="preserve">Un comité scientifique va ensuite évaluer l’ensemble des résumés soumis et sélectionner les meilleures propositions avant le 20 décembre. Les participants seront ensuite informés des résultats du processus de sélection et obtiendront des orientations pour développer et présenter au mieux leurs papiers. </w:t>
      </w:r>
    </w:p>
    <w:p w14:paraId="7B8DCAA4" w14:textId="6EA15605" w:rsidR="00DA03A1" w:rsidRPr="00F44420" w:rsidRDefault="000D1AFC" w:rsidP="00F44420">
      <w:pPr>
        <w:pStyle w:val="ListParagraph"/>
        <w:numPr>
          <w:ilvl w:val="0"/>
          <w:numId w:val="15"/>
        </w:numPr>
        <w:spacing w:line="240" w:lineRule="auto"/>
        <w:ind w:right="-360"/>
        <w:jc w:val="both"/>
        <w:rPr>
          <w:rFonts w:cstheme="minorHAnsi"/>
          <w:sz w:val="20"/>
          <w:szCs w:val="20"/>
          <w:lang w:val="fr-FR"/>
        </w:rPr>
      </w:pPr>
      <w:r w:rsidRPr="00F44420">
        <w:rPr>
          <w:rFonts w:cstheme="minorHAnsi"/>
          <w:sz w:val="20"/>
          <w:szCs w:val="20"/>
          <w:lang w:val="fr-FR"/>
        </w:rPr>
        <w:t>Les papiers complets et les présentations power point finalisé</w:t>
      </w:r>
      <w:r w:rsidR="001E076E" w:rsidRPr="00F44420">
        <w:rPr>
          <w:rFonts w:cstheme="minorHAnsi"/>
          <w:sz w:val="20"/>
          <w:szCs w:val="20"/>
          <w:lang w:val="fr-FR"/>
        </w:rPr>
        <w:t>e</w:t>
      </w:r>
      <w:r w:rsidRPr="00F44420">
        <w:rPr>
          <w:rFonts w:cstheme="minorHAnsi"/>
          <w:sz w:val="20"/>
          <w:szCs w:val="20"/>
          <w:lang w:val="fr-FR"/>
        </w:rPr>
        <w:t xml:space="preserve">s (en format Word, PDF ou PPT) doivent être soumis avant le </w:t>
      </w:r>
      <w:r w:rsidRPr="00F44420">
        <w:rPr>
          <w:rFonts w:cstheme="minorHAnsi"/>
          <w:b/>
          <w:sz w:val="20"/>
          <w:szCs w:val="20"/>
          <w:lang w:val="fr-FR"/>
        </w:rPr>
        <w:t>31 janvier 2021</w:t>
      </w:r>
      <w:r w:rsidRPr="00F44420">
        <w:rPr>
          <w:rFonts w:cstheme="minorHAnsi"/>
          <w:sz w:val="20"/>
          <w:szCs w:val="20"/>
          <w:lang w:val="fr-FR"/>
        </w:rPr>
        <w:t xml:space="preserve">. </w:t>
      </w:r>
      <w:r w:rsidR="006C4F78" w:rsidRPr="00F44420">
        <w:rPr>
          <w:rFonts w:cstheme="minorHAnsi"/>
          <w:sz w:val="20"/>
          <w:szCs w:val="20"/>
          <w:lang w:val="fr-FR"/>
        </w:rPr>
        <w:t>Si ces délais de soumission ne sont pas respectés, les personnes concernées peuvent être retirées de la liste de présentateurs.</w:t>
      </w:r>
    </w:p>
    <w:p w14:paraId="05F9FBEC" w14:textId="4318570E" w:rsidR="00AC75E8" w:rsidRPr="00F44420" w:rsidRDefault="006C4F78" w:rsidP="00F44420">
      <w:pPr>
        <w:pStyle w:val="ListParagraph"/>
        <w:numPr>
          <w:ilvl w:val="0"/>
          <w:numId w:val="15"/>
        </w:numPr>
        <w:spacing w:line="240" w:lineRule="auto"/>
        <w:ind w:right="-360"/>
        <w:jc w:val="both"/>
        <w:rPr>
          <w:rFonts w:cstheme="minorHAnsi"/>
          <w:sz w:val="20"/>
          <w:szCs w:val="20"/>
          <w:lang w:val="fr-FR"/>
        </w:rPr>
      </w:pPr>
      <w:r w:rsidRPr="00F44420">
        <w:rPr>
          <w:rFonts w:cstheme="minorHAnsi"/>
          <w:sz w:val="20"/>
          <w:szCs w:val="20"/>
          <w:lang w:val="fr-FR"/>
        </w:rPr>
        <w:t xml:space="preserve">A la suite de la conférence, les papiers présentes seront mis à disposition et pourront être téléchargés gratuitement sur le site de l’Initiative arabe du foncier </w:t>
      </w:r>
      <w:hyperlink r:id="rId9" w:history="1">
        <w:r w:rsidR="00AC75E8" w:rsidRPr="00F44420">
          <w:rPr>
            <w:rStyle w:val="Hyperlink"/>
            <w:rFonts w:cstheme="minorHAnsi"/>
            <w:sz w:val="20"/>
            <w:szCs w:val="20"/>
            <w:lang w:val="fr-FR"/>
          </w:rPr>
          <w:t>https://arabstates.gltn.net/</w:t>
        </w:r>
      </w:hyperlink>
      <w:r w:rsidR="00AC75E8" w:rsidRPr="00F44420">
        <w:rPr>
          <w:rFonts w:cstheme="minorHAnsi"/>
          <w:sz w:val="20"/>
          <w:szCs w:val="20"/>
          <w:lang w:val="fr-FR"/>
        </w:rPr>
        <w:t xml:space="preserve"> </w:t>
      </w:r>
    </w:p>
    <w:p w14:paraId="2EDA3271" w14:textId="7B9EAFB3" w:rsidR="006C4F78" w:rsidRPr="00F44420" w:rsidRDefault="00644A1F" w:rsidP="00F44420">
      <w:pPr>
        <w:spacing w:line="240" w:lineRule="auto"/>
        <w:ind w:left="-270" w:right="-360"/>
        <w:jc w:val="both"/>
        <w:rPr>
          <w:rFonts w:cstheme="minorHAnsi"/>
          <w:bCs/>
          <w:i/>
          <w:iCs/>
          <w:sz w:val="20"/>
          <w:szCs w:val="20"/>
          <w:lang w:val="fr-FR"/>
        </w:rPr>
      </w:pPr>
      <w:r w:rsidRPr="00F44420">
        <w:rPr>
          <w:rFonts w:cstheme="minorHAnsi"/>
          <w:b/>
          <w:bCs/>
          <w:i/>
          <w:iCs/>
          <w:sz w:val="20"/>
          <w:szCs w:val="20"/>
          <w:lang w:val="fr-FR"/>
        </w:rPr>
        <w:t>Important</w:t>
      </w:r>
      <w:r w:rsidR="006C4F78" w:rsidRPr="00F44420">
        <w:rPr>
          <w:rFonts w:cstheme="minorHAnsi"/>
          <w:b/>
          <w:bCs/>
          <w:i/>
          <w:iCs/>
          <w:sz w:val="20"/>
          <w:szCs w:val="20"/>
          <w:lang w:val="fr-FR"/>
        </w:rPr>
        <w:t xml:space="preserve"> </w:t>
      </w:r>
      <w:r w:rsidRPr="00F44420">
        <w:rPr>
          <w:rFonts w:cstheme="minorHAnsi"/>
          <w:b/>
          <w:bCs/>
          <w:i/>
          <w:iCs/>
          <w:sz w:val="20"/>
          <w:szCs w:val="20"/>
          <w:lang w:val="fr-FR"/>
        </w:rPr>
        <w:t>:</w:t>
      </w:r>
      <w:r w:rsidR="006C4F78" w:rsidRPr="00F44420">
        <w:rPr>
          <w:rFonts w:cstheme="minorHAnsi"/>
          <w:b/>
          <w:bCs/>
          <w:i/>
          <w:iCs/>
          <w:sz w:val="20"/>
          <w:szCs w:val="20"/>
          <w:lang w:val="fr-FR"/>
        </w:rPr>
        <w:t xml:space="preserve"> </w:t>
      </w:r>
      <w:r w:rsidR="006C4F78" w:rsidRPr="00F44420">
        <w:rPr>
          <w:rFonts w:cstheme="minorHAnsi"/>
          <w:bCs/>
          <w:i/>
          <w:iCs/>
          <w:sz w:val="20"/>
          <w:szCs w:val="20"/>
          <w:lang w:val="fr-FR"/>
        </w:rPr>
        <w:t xml:space="preserve">veuillez noter </w:t>
      </w:r>
      <w:r w:rsidR="004F6FA9" w:rsidRPr="00F44420">
        <w:rPr>
          <w:rFonts w:cstheme="minorHAnsi"/>
          <w:bCs/>
          <w:i/>
          <w:iCs/>
          <w:sz w:val="20"/>
          <w:szCs w:val="20"/>
          <w:lang w:val="fr-FR"/>
        </w:rPr>
        <w:t xml:space="preserve">que le </w:t>
      </w:r>
      <w:r w:rsidR="006C4F78" w:rsidRPr="00F44420">
        <w:rPr>
          <w:rFonts w:cstheme="minorHAnsi"/>
          <w:bCs/>
          <w:i/>
          <w:iCs/>
          <w:sz w:val="20"/>
          <w:szCs w:val="20"/>
          <w:lang w:val="fr-FR"/>
        </w:rPr>
        <w:t xml:space="preserve">financement et l’organisation </w:t>
      </w:r>
      <w:r w:rsidR="004F6FA9" w:rsidRPr="00F44420">
        <w:rPr>
          <w:rFonts w:cstheme="minorHAnsi"/>
          <w:bCs/>
          <w:i/>
          <w:iCs/>
          <w:sz w:val="20"/>
          <w:szCs w:val="20"/>
          <w:lang w:val="fr-FR"/>
        </w:rPr>
        <w:t>du</w:t>
      </w:r>
      <w:r w:rsidR="006C4F78" w:rsidRPr="00F44420">
        <w:rPr>
          <w:rFonts w:cstheme="minorHAnsi"/>
          <w:bCs/>
          <w:i/>
          <w:iCs/>
          <w:sz w:val="20"/>
          <w:szCs w:val="20"/>
          <w:lang w:val="fr-FR"/>
        </w:rPr>
        <w:t xml:space="preserve"> déplacement, </w:t>
      </w:r>
      <w:r w:rsidR="004F6FA9" w:rsidRPr="00F44420">
        <w:rPr>
          <w:rFonts w:cstheme="minorHAnsi"/>
          <w:bCs/>
          <w:i/>
          <w:iCs/>
          <w:sz w:val="20"/>
          <w:szCs w:val="20"/>
          <w:lang w:val="fr-FR"/>
        </w:rPr>
        <w:t>du</w:t>
      </w:r>
      <w:r w:rsidR="006C4F78" w:rsidRPr="00F44420">
        <w:rPr>
          <w:rFonts w:cstheme="minorHAnsi"/>
          <w:bCs/>
          <w:i/>
          <w:iCs/>
          <w:sz w:val="20"/>
          <w:szCs w:val="20"/>
          <w:lang w:val="fr-FR"/>
        </w:rPr>
        <w:t xml:space="preserve"> visa et </w:t>
      </w:r>
      <w:r w:rsidR="004F6FA9" w:rsidRPr="00F44420">
        <w:rPr>
          <w:rFonts w:cstheme="minorHAnsi"/>
          <w:bCs/>
          <w:i/>
          <w:iCs/>
          <w:sz w:val="20"/>
          <w:szCs w:val="20"/>
          <w:lang w:val="fr-FR"/>
        </w:rPr>
        <w:t>du</w:t>
      </w:r>
      <w:r w:rsidR="006C4F78" w:rsidRPr="00F44420">
        <w:rPr>
          <w:rFonts w:cstheme="minorHAnsi"/>
          <w:bCs/>
          <w:i/>
          <w:iCs/>
          <w:sz w:val="20"/>
          <w:szCs w:val="20"/>
          <w:lang w:val="fr-FR"/>
        </w:rPr>
        <w:t xml:space="preserve"> logement</w:t>
      </w:r>
      <w:r w:rsidR="004F6FA9" w:rsidRPr="00F44420">
        <w:rPr>
          <w:rFonts w:cstheme="minorHAnsi"/>
          <w:bCs/>
          <w:i/>
          <w:iCs/>
          <w:sz w:val="20"/>
          <w:szCs w:val="20"/>
          <w:lang w:val="fr-FR"/>
        </w:rPr>
        <w:t xml:space="preserve"> restent à la charge des participants et des présentateurs enregistrés</w:t>
      </w:r>
      <w:r w:rsidR="006C4F78" w:rsidRPr="00F44420">
        <w:rPr>
          <w:rFonts w:cstheme="minorHAnsi"/>
          <w:bCs/>
          <w:i/>
          <w:iCs/>
          <w:sz w:val="20"/>
          <w:szCs w:val="20"/>
          <w:lang w:val="fr-FR"/>
        </w:rPr>
        <w:t xml:space="preserve">. Aucun sponsoring ou autre soutien financier peut être mis à disposition par les organisateurs de la conférence (à moins que des accords explicites et individuels aient été conclus </w:t>
      </w:r>
      <w:r w:rsidR="004F6FA9" w:rsidRPr="00F44420">
        <w:rPr>
          <w:rFonts w:cstheme="minorHAnsi"/>
          <w:bCs/>
          <w:i/>
          <w:iCs/>
          <w:sz w:val="20"/>
          <w:szCs w:val="20"/>
          <w:lang w:val="fr-FR"/>
        </w:rPr>
        <w:t xml:space="preserve">directement </w:t>
      </w:r>
      <w:r w:rsidR="006C4F78" w:rsidRPr="00F44420">
        <w:rPr>
          <w:rFonts w:cstheme="minorHAnsi"/>
          <w:bCs/>
          <w:i/>
          <w:iCs/>
          <w:sz w:val="20"/>
          <w:szCs w:val="20"/>
          <w:lang w:val="fr-FR"/>
        </w:rPr>
        <w:t xml:space="preserve">avec </w:t>
      </w:r>
      <w:r w:rsidR="004F6FA9" w:rsidRPr="00F44420">
        <w:rPr>
          <w:rFonts w:cstheme="minorHAnsi"/>
          <w:bCs/>
          <w:i/>
          <w:iCs/>
          <w:sz w:val="20"/>
          <w:szCs w:val="20"/>
          <w:lang w:val="fr-FR"/>
        </w:rPr>
        <w:t>un organisme</w:t>
      </w:r>
      <w:r w:rsidR="006C4F78" w:rsidRPr="00F44420">
        <w:rPr>
          <w:rFonts w:cstheme="minorHAnsi"/>
          <w:bCs/>
          <w:i/>
          <w:iCs/>
          <w:sz w:val="20"/>
          <w:szCs w:val="20"/>
          <w:lang w:val="fr-FR"/>
        </w:rPr>
        <w:t xml:space="preserve">). </w:t>
      </w:r>
    </w:p>
    <w:p w14:paraId="5BF7A20B" w14:textId="69294A8F" w:rsidR="00AB356A" w:rsidRPr="00F44420" w:rsidRDefault="004F6FA9" w:rsidP="00F44420">
      <w:pPr>
        <w:shd w:val="clear" w:color="auto" w:fill="D6E3BC" w:themeFill="accent3" w:themeFillTint="66"/>
        <w:spacing w:after="0" w:line="240" w:lineRule="auto"/>
        <w:ind w:left="-274" w:right="-360"/>
        <w:jc w:val="both"/>
        <w:rPr>
          <w:b/>
          <w:bCs/>
          <w:sz w:val="28"/>
          <w:szCs w:val="28"/>
          <w:lang w:val="fr-FR"/>
        </w:rPr>
      </w:pPr>
      <w:r w:rsidRPr="00F44420">
        <w:rPr>
          <w:b/>
          <w:bCs/>
          <w:sz w:val="28"/>
          <w:szCs w:val="28"/>
          <w:lang w:val="fr-FR"/>
        </w:rPr>
        <w:t>Format des propositions de papier</w:t>
      </w:r>
    </w:p>
    <w:p w14:paraId="0A37322D" w14:textId="0385DEAB" w:rsidR="00644A1F" w:rsidRPr="00F44420" w:rsidRDefault="004F6FA9" w:rsidP="00F44420">
      <w:pPr>
        <w:spacing w:line="240" w:lineRule="auto"/>
        <w:ind w:left="-270" w:right="-360"/>
        <w:jc w:val="both"/>
        <w:rPr>
          <w:rFonts w:cstheme="minorHAnsi"/>
          <w:sz w:val="20"/>
          <w:szCs w:val="20"/>
          <w:lang w:val="fr-FR"/>
        </w:rPr>
      </w:pPr>
      <w:r w:rsidRPr="00F44420">
        <w:rPr>
          <w:rFonts w:cstheme="minorHAnsi"/>
          <w:sz w:val="20"/>
          <w:szCs w:val="20"/>
          <w:lang w:val="fr-FR"/>
        </w:rPr>
        <w:t>Les propositions doivent être soumises en format</w:t>
      </w:r>
      <w:r w:rsidR="00644A1F" w:rsidRPr="00F44420">
        <w:rPr>
          <w:rFonts w:cstheme="minorHAnsi"/>
          <w:sz w:val="20"/>
          <w:szCs w:val="20"/>
          <w:lang w:val="fr-FR"/>
        </w:rPr>
        <w:t xml:space="preserve"> Word </w:t>
      </w:r>
      <w:r w:rsidRPr="00F44420">
        <w:rPr>
          <w:rFonts w:cstheme="minorHAnsi"/>
          <w:sz w:val="20"/>
          <w:szCs w:val="20"/>
          <w:lang w:val="fr-FR"/>
        </w:rPr>
        <w:t>ou PDF</w:t>
      </w:r>
      <w:r w:rsidR="00644A1F" w:rsidRPr="00F44420">
        <w:rPr>
          <w:rFonts w:cstheme="minorHAnsi"/>
          <w:sz w:val="20"/>
          <w:szCs w:val="20"/>
          <w:lang w:val="fr-FR"/>
        </w:rPr>
        <w:t xml:space="preserve">. </w:t>
      </w:r>
      <w:r w:rsidRPr="00F44420">
        <w:rPr>
          <w:rFonts w:cstheme="minorHAnsi"/>
          <w:sz w:val="20"/>
          <w:szCs w:val="20"/>
          <w:lang w:val="fr-FR"/>
        </w:rPr>
        <w:t xml:space="preserve">Des propositions seront acceptées en français, en anglais et en arabe. Il doivent contenir </w:t>
      </w:r>
      <w:r w:rsidRPr="00F44420">
        <w:rPr>
          <w:rFonts w:cstheme="minorHAnsi"/>
          <w:b/>
          <w:sz w:val="20"/>
          <w:szCs w:val="20"/>
          <w:lang w:val="fr-FR"/>
        </w:rPr>
        <w:t xml:space="preserve">l’ensemble des informations suivantes : </w:t>
      </w:r>
      <w:r w:rsidR="00644A1F" w:rsidRPr="00F44420">
        <w:rPr>
          <w:rFonts w:cstheme="minorHAnsi"/>
          <w:sz w:val="20"/>
          <w:szCs w:val="20"/>
          <w:lang w:val="fr-FR"/>
        </w:rPr>
        <w:t xml:space="preserve">  </w:t>
      </w:r>
    </w:p>
    <w:p w14:paraId="721C5637" w14:textId="4F855746" w:rsidR="00644A1F" w:rsidRPr="00F44420" w:rsidRDefault="00E72C61" w:rsidP="00F44420">
      <w:pPr>
        <w:pStyle w:val="ListParagraph"/>
        <w:numPr>
          <w:ilvl w:val="0"/>
          <w:numId w:val="16"/>
        </w:numPr>
        <w:spacing w:line="240" w:lineRule="auto"/>
        <w:ind w:right="-360"/>
        <w:jc w:val="both"/>
        <w:rPr>
          <w:rFonts w:cstheme="minorHAnsi"/>
          <w:sz w:val="20"/>
          <w:szCs w:val="20"/>
          <w:lang w:val="fr-FR"/>
        </w:rPr>
      </w:pPr>
      <w:r w:rsidRPr="00F44420">
        <w:rPr>
          <w:rFonts w:cstheme="minorHAnsi"/>
          <w:b/>
          <w:bCs/>
          <w:sz w:val="20"/>
          <w:szCs w:val="20"/>
          <w:lang w:val="fr-FR"/>
        </w:rPr>
        <w:t xml:space="preserve">Noms </w:t>
      </w:r>
      <w:r w:rsidRPr="00F44420">
        <w:rPr>
          <w:rFonts w:cstheme="minorHAnsi"/>
          <w:bCs/>
          <w:sz w:val="20"/>
          <w:szCs w:val="20"/>
          <w:lang w:val="fr-FR"/>
        </w:rPr>
        <w:t xml:space="preserve">de tous les présentateurs </w:t>
      </w:r>
    </w:p>
    <w:p w14:paraId="5C9A08B7" w14:textId="38BCD1FD" w:rsidR="00644A1F" w:rsidRPr="00F44420" w:rsidRDefault="00E72C61" w:rsidP="00F44420">
      <w:pPr>
        <w:pStyle w:val="ListParagraph"/>
        <w:numPr>
          <w:ilvl w:val="0"/>
          <w:numId w:val="16"/>
        </w:numPr>
        <w:spacing w:line="240" w:lineRule="auto"/>
        <w:ind w:right="-360"/>
        <w:jc w:val="both"/>
        <w:rPr>
          <w:rFonts w:cstheme="minorHAnsi"/>
          <w:sz w:val="20"/>
          <w:szCs w:val="20"/>
          <w:lang w:val="fr-FR"/>
        </w:rPr>
      </w:pPr>
      <w:r w:rsidRPr="00F44420">
        <w:rPr>
          <w:rFonts w:cstheme="minorHAnsi"/>
          <w:b/>
          <w:bCs/>
          <w:sz w:val="20"/>
          <w:szCs w:val="20"/>
          <w:lang w:val="fr-FR"/>
        </w:rPr>
        <w:t xml:space="preserve">Titre </w:t>
      </w:r>
      <w:r w:rsidRPr="00F44420">
        <w:rPr>
          <w:rFonts w:cstheme="minorHAnsi"/>
          <w:bCs/>
          <w:sz w:val="20"/>
          <w:szCs w:val="20"/>
          <w:lang w:val="fr-FR"/>
        </w:rPr>
        <w:t>du papier</w:t>
      </w:r>
    </w:p>
    <w:p w14:paraId="2916C0A5" w14:textId="0B488241" w:rsidR="00AC75E8" w:rsidRPr="00F44420" w:rsidRDefault="00E72C61" w:rsidP="00F44420">
      <w:pPr>
        <w:pStyle w:val="ListParagraph"/>
        <w:numPr>
          <w:ilvl w:val="0"/>
          <w:numId w:val="16"/>
        </w:numPr>
        <w:spacing w:line="240" w:lineRule="auto"/>
        <w:ind w:right="-360"/>
        <w:jc w:val="both"/>
        <w:rPr>
          <w:rFonts w:cstheme="minorHAnsi"/>
          <w:sz w:val="20"/>
          <w:szCs w:val="20"/>
          <w:lang w:val="fr-FR"/>
        </w:rPr>
      </w:pPr>
      <w:r w:rsidRPr="00F44420">
        <w:rPr>
          <w:rFonts w:cstheme="minorHAnsi"/>
          <w:sz w:val="20"/>
          <w:szCs w:val="20"/>
          <w:lang w:val="fr-FR"/>
        </w:rPr>
        <w:t xml:space="preserve">Une liste de </w:t>
      </w:r>
      <w:r w:rsidRPr="00F44420">
        <w:rPr>
          <w:rFonts w:cstheme="minorHAnsi"/>
          <w:b/>
          <w:sz w:val="20"/>
          <w:szCs w:val="20"/>
          <w:lang w:val="fr-FR"/>
        </w:rPr>
        <w:t xml:space="preserve">6 mots clés </w:t>
      </w:r>
      <w:r w:rsidRPr="00F44420">
        <w:rPr>
          <w:rFonts w:cstheme="minorHAnsi"/>
          <w:sz w:val="20"/>
          <w:szCs w:val="20"/>
          <w:lang w:val="fr-FR"/>
        </w:rPr>
        <w:t>max.</w:t>
      </w:r>
    </w:p>
    <w:p w14:paraId="704E026B" w14:textId="13AC1D01" w:rsidR="00AC75E8" w:rsidRPr="00F44420" w:rsidRDefault="00F44420" w:rsidP="00F44420">
      <w:pPr>
        <w:pStyle w:val="ListParagraph"/>
        <w:numPr>
          <w:ilvl w:val="0"/>
          <w:numId w:val="16"/>
        </w:numPr>
        <w:spacing w:line="240" w:lineRule="auto"/>
        <w:ind w:right="-360"/>
        <w:jc w:val="both"/>
        <w:rPr>
          <w:rFonts w:cstheme="minorHAnsi"/>
          <w:sz w:val="20"/>
          <w:szCs w:val="20"/>
          <w:lang w:val="fr-FR"/>
        </w:rPr>
      </w:pPr>
      <w:r w:rsidRPr="00F44420">
        <w:rPr>
          <w:rFonts w:cstheme="minorHAnsi"/>
          <w:sz w:val="20"/>
          <w:szCs w:val="20"/>
          <w:lang w:val="fr-FR"/>
        </w:rPr>
        <w:t>Le(s) thème(s) de la conférence dans le(s)quel(s) le papier s’inscrit</w:t>
      </w:r>
    </w:p>
    <w:p w14:paraId="72B1F7F6" w14:textId="6DCAA194" w:rsidR="00BB7115" w:rsidRPr="00F44420" w:rsidRDefault="00F44420" w:rsidP="00F44420">
      <w:pPr>
        <w:pStyle w:val="ListParagraph"/>
        <w:numPr>
          <w:ilvl w:val="0"/>
          <w:numId w:val="16"/>
        </w:numPr>
        <w:spacing w:line="240" w:lineRule="auto"/>
        <w:ind w:right="-360"/>
        <w:jc w:val="both"/>
        <w:rPr>
          <w:rFonts w:cstheme="minorHAnsi"/>
          <w:sz w:val="20"/>
          <w:szCs w:val="20"/>
          <w:lang w:val="fr-FR"/>
        </w:rPr>
      </w:pPr>
      <w:r w:rsidRPr="00F44420">
        <w:rPr>
          <w:rFonts w:cstheme="minorHAnsi"/>
          <w:sz w:val="20"/>
          <w:szCs w:val="20"/>
          <w:lang w:val="fr-FR"/>
        </w:rPr>
        <w:t xml:space="preserve">La zone géographique couverte par le papier (un ou plusieurs pays de la région arabe ou d’autres expériences internationales pertinentes (voir supra) </w:t>
      </w:r>
    </w:p>
    <w:p w14:paraId="308292A7" w14:textId="66AD58FA" w:rsidR="00BB7115" w:rsidRPr="00F44420" w:rsidRDefault="00F44420" w:rsidP="00F44420">
      <w:pPr>
        <w:pStyle w:val="ListParagraph"/>
        <w:numPr>
          <w:ilvl w:val="0"/>
          <w:numId w:val="16"/>
        </w:numPr>
        <w:spacing w:line="240" w:lineRule="auto"/>
        <w:ind w:right="-360"/>
        <w:jc w:val="both"/>
        <w:rPr>
          <w:rFonts w:cstheme="minorHAnsi"/>
          <w:sz w:val="20"/>
          <w:szCs w:val="20"/>
          <w:lang w:val="fr-FR"/>
        </w:rPr>
      </w:pPr>
      <w:r w:rsidRPr="00F44420">
        <w:rPr>
          <w:rFonts w:cstheme="minorHAnsi"/>
          <w:sz w:val="20"/>
          <w:szCs w:val="20"/>
          <w:lang w:val="fr-FR"/>
        </w:rPr>
        <w:t>Une synthèse du résumé du papier</w:t>
      </w:r>
      <w:r w:rsidR="00AC75E8" w:rsidRPr="00F44420">
        <w:rPr>
          <w:rFonts w:cstheme="minorHAnsi"/>
          <w:sz w:val="20"/>
          <w:szCs w:val="20"/>
          <w:lang w:val="fr-FR"/>
        </w:rPr>
        <w:t xml:space="preserve"> (</w:t>
      </w:r>
      <w:r w:rsidRPr="00F44420">
        <w:rPr>
          <w:rFonts w:cstheme="minorHAnsi"/>
          <w:sz w:val="20"/>
          <w:szCs w:val="20"/>
          <w:lang w:val="fr-FR"/>
        </w:rPr>
        <w:t>200 mots max.</w:t>
      </w:r>
      <w:r w:rsidR="00AC75E8" w:rsidRPr="00F44420">
        <w:rPr>
          <w:rFonts w:cstheme="minorHAnsi"/>
          <w:sz w:val="20"/>
          <w:szCs w:val="20"/>
          <w:lang w:val="fr-FR"/>
        </w:rPr>
        <w:t>)</w:t>
      </w:r>
    </w:p>
    <w:p w14:paraId="7C75B6DC" w14:textId="399DD2A9" w:rsidR="00AB356A" w:rsidRPr="00F44420" w:rsidRDefault="00F44420" w:rsidP="00F44420">
      <w:pPr>
        <w:pStyle w:val="ListParagraph"/>
        <w:numPr>
          <w:ilvl w:val="0"/>
          <w:numId w:val="16"/>
        </w:numPr>
        <w:spacing w:line="240" w:lineRule="auto"/>
        <w:ind w:right="-360"/>
        <w:jc w:val="both"/>
        <w:rPr>
          <w:rFonts w:cstheme="minorHAnsi"/>
          <w:sz w:val="20"/>
          <w:szCs w:val="20"/>
          <w:lang w:val="fr-FR"/>
        </w:rPr>
      </w:pPr>
      <w:r w:rsidRPr="00F44420">
        <w:rPr>
          <w:rFonts w:cstheme="minorHAnsi"/>
          <w:sz w:val="20"/>
          <w:szCs w:val="20"/>
          <w:lang w:val="fr-FR"/>
        </w:rPr>
        <w:t>Un résumé général du papier</w:t>
      </w:r>
      <w:r w:rsidR="00BB7115" w:rsidRPr="00F44420">
        <w:rPr>
          <w:rFonts w:cstheme="minorHAnsi"/>
          <w:sz w:val="20"/>
          <w:szCs w:val="20"/>
          <w:lang w:val="fr-FR"/>
        </w:rPr>
        <w:t xml:space="preserve"> (</w:t>
      </w:r>
      <w:r w:rsidR="00AC75E8" w:rsidRPr="00F44420">
        <w:rPr>
          <w:rFonts w:cstheme="minorHAnsi"/>
          <w:sz w:val="20"/>
          <w:szCs w:val="20"/>
          <w:lang w:val="fr-FR"/>
        </w:rPr>
        <w:t>15</w:t>
      </w:r>
      <w:r w:rsidRPr="00F44420">
        <w:rPr>
          <w:rFonts w:cstheme="minorHAnsi"/>
          <w:sz w:val="20"/>
          <w:szCs w:val="20"/>
          <w:lang w:val="fr-FR"/>
        </w:rPr>
        <w:t>00 mots max.)</w:t>
      </w:r>
    </w:p>
    <w:p w14:paraId="35A3EF4A" w14:textId="605FA603" w:rsidR="00AB356A" w:rsidRPr="00F44420" w:rsidRDefault="00F44420" w:rsidP="00F44420">
      <w:pPr>
        <w:shd w:val="clear" w:color="auto" w:fill="D6E3BC" w:themeFill="accent3" w:themeFillTint="66"/>
        <w:spacing w:after="0" w:line="240" w:lineRule="auto"/>
        <w:ind w:left="-274" w:right="-360"/>
        <w:jc w:val="both"/>
        <w:rPr>
          <w:b/>
          <w:bCs/>
          <w:sz w:val="28"/>
          <w:szCs w:val="28"/>
          <w:lang w:val="fr-FR"/>
        </w:rPr>
      </w:pPr>
      <w:r w:rsidRPr="00F44420">
        <w:rPr>
          <w:b/>
          <w:bCs/>
          <w:sz w:val="28"/>
          <w:szCs w:val="28"/>
          <w:lang w:val="fr-FR"/>
        </w:rPr>
        <w:t>Pour plus d’informations…</w:t>
      </w:r>
    </w:p>
    <w:p w14:paraId="691F3EA3" w14:textId="77777777" w:rsidR="00F44420" w:rsidRPr="00F44420" w:rsidRDefault="00F44420" w:rsidP="00F44420">
      <w:pPr>
        <w:spacing w:line="240" w:lineRule="auto"/>
        <w:ind w:left="-270" w:right="-360"/>
        <w:jc w:val="both"/>
        <w:rPr>
          <w:sz w:val="20"/>
          <w:szCs w:val="20"/>
          <w:lang w:val="fr-FR"/>
        </w:rPr>
      </w:pPr>
      <w:r w:rsidRPr="00F44420">
        <w:rPr>
          <w:rFonts w:cstheme="minorHAnsi"/>
          <w:sz w:val="20"/>
          <w:szCs w:val="20"/>
          <w:lang w:val="fr-FR"/>
        </w:rPr>
        <w:t xml:space="preserve">Pour plus d’informations sur la Deuxième Conférence arabe sur le foncier, rendez-vous sur le site de </w:t>
      </w:r>
      <w:hyperlink r:id="rId10" w:history="1">
        <w:r w:rsidRPr="00F44420">
          <w:rPr>
            <w:rStyle w:val="Hyperlink"/>
            <w:sz w:val="20"/>
            <w:szCs w:val="20"/>
            <w:lang w:val="fr-FR"/>
          </w:rPr>
          <w:t>l’Initiative arabe du foncier</w:t>
        </w:r>
      </w:hyperlink>
      <w:r w:rsidRPr="00F44420">
        <w:rPr>
          <w:sz w:val="20"/>
          <w:szCs w:val="20"/>
          <w:lang w:val="fr-FR"/>
        </w:rPr>
        <w:t xml:space="preserve"> ou contactez </w:t>
      </w:r>
      <w:hyperlink r:id="rId11" w:history="1">
        <w:r w:rsidRPr="00F44420">
          <w:rPr>
            <w:rStyle w:val="Hyperlink"/>
            <w:sz w:val="20"/>
            <w:szCs w:val="20"/>
            <w:lang w:val="fr-FR"/>
          </w:rPr>
          <w:t>Dr. Doaa El Sherif</w:t>
        </w:r>
      </w:hyperlink>
      <w:r w:rsidRPr="00F44420">
        <w:rPr>
          <w:sz w:val="20"/>
          <w:szCs w:val="20"/>
          <w:lang w:val="fr-FR"/>
        </w:rPr>
        <w:t xml:space="preserve"> la Directrice exécutive d’UTI/HBRC, </w:t>
      </w:r>
      <w:hyperlink r:id="rId12" w:history="1">
        <w:r w:rsidRPr="00F44420">
          <w:rPr>
            <w:rStyle w:val="Hyperlink"/>
            <w:sz w:val="20"/>
            <w:szCs w:val="20"/>
            <w:lang w:val="fr-FR"/>
          </w:rPr>
          <w:t>Ombretta Tempra</w:t>
        </w:r>
      </w:hyperlink>
      <w:r w:rsidRPr="00F44420">
        <w:rPr>
          <w:sz w:val="20"/>
          <w:szCs w:val="20"/>
          <w:lang w:val="fr-FR"/>
        </w:rPr>
        <w:t xml:space="preserve"> ou </w:t>
      </w:r>
      <w:hyperlink r:id="rId13" w:history="1">
        <w:r w:rsidRPr="00F44420">
          <w:rPr>
            <w:rStyle w:val="Hyperlink"/>
            <w:sz w:val="20"/>
            <w:szCs w:val="20"/>
            <w:lang w:val="fr-FR"/>
          </w:rPr>
          <w:t>El Habib Benmokhtar</w:t>
        </w:r>
      </w:hyperlink>
      <w:r w:rsidRPr="00F44420">
        <w:rPr>
          <w:sz w:val="20"/>
          <w:szCs w:val="20"/>
          <w:lang w:val="fr-FR"/>
        </w:rPr>
        <w:t xml:space="preserve">, UN-Habitat / GLTN ou </w:t>
      </w:r>
      <w:hyperlink r:id="rId14" w:history="1">
        <w:r w:rsidRPr="00F44420">
          <w:rPr>
            <w:rStyle w:val="Hyperlink"/>
            <w:sz w:val="20"/>
            <w:szCs w:val="20"/>
            <w:lang w:val="fr-FR"/>
          </w:rPr>
          <w:t xml:space="preserve">Wael </w:t>
        </w:r>
        <w:proofErr w:type="spellStart"/>
        <w:r w:rsidRPr="00F44420">
          <w:rPr>
            <w:rStyle w:val="Hyperlink"/>
            <w:sz w:val="20"/>
            <w:szCs w:val="20"/>
            <w:lang w:val="fr-FR"/>
          </w:rPr>
          <w:t>Zakout</w:t>
        </w:r>
        <w:proofErr w:type="spellEnd"/>
      </w:hyperlink>
      <w:r w:rsidRPr="00F44420">
        <w:rPr>
          <w:sz w:val="20"/>
          <w:szCs w:val="20"/>
          <w:lang w:val="fr-FR"/>
        </w:rPr>
        <w:t>, la Banque mondiale.</w:t>
      </w:r>
    </w:p>
    <w:p w14:paraId="6EB2E507" w14:textId="1B6A5582" w:rsidR="00F44420" w:rsidRPr="00F44420" w:rsidRDefault="00F44420" w:rsidP="00F44420">
      <w:pPr>
        <w:spacing w:after="0" w:line="240" w:lineRule="auto"/>
        <w:ind w:left="-274" w:right="-360"/>
        <w:jc w:val="center"/>
        <w:rPr>
          <w:sz w:val="20"/>
          <w:szCs w:val="20"/>
          <w:lang w:val="fr-FR"/>
        </w:rPr>
      </w:pPr>
      <w:r w:rsidRPr="00F44420">
        <w:rPr>
          <w:sz w:val="20"/>
          <w:szCs w:val="20"/>
          <w:lang w:val="fr-FR"/>
        </w:rPr>
        <w:t xml:space="preserve">Nous sommes impatients de vous </w:t>
      </w:r>
      <w:r>
        <w:rPr>
          <w:sz w:val="20"/>
          <w:szCs w:val="20"/>
          <w:lang w:val="fr-FR"/>
        </w:rPr>
        <w:t>accueillir</w:t>
      </w:r>
      <w:r w:rsidRPr="00F44420">
        <w:rPr>
          <w:sz w:val="20"/>
          <w:szCs w:val="20"/>
          <w:lang w:val="fr-FR"/>
        </w:rPr>
        <w:t xml:space="preserve"> lors de la Deuxième Conférence Arabe sur le Foncier ! </w:t>
      </w:r>
    </w:p>
    <w:p w14:paraId="60093A5F" w14:textId="77777777" w:rsidR="00F44420" w:rsidRPr="00F44420" w:rsidRDefault="00F44420" w:rsidP="00F44420">
      <w:pPr>
        <w:spacing w:after="0" w:line="240" w:lineRule="auto"/>
        <w:ind w:left="-274" w:right="-360"/>
        <w:jc w:val="center"/>
        <w:rPr>
          <w:i/>
          <w:sz w:val="20"/>
          <w:szCs w:val="20"/>
          <w:lang w:val="fr-FR"/>
        </w:rPr>
      </w:pPr>
    </w:p>
    <w:p w14:paraId="5D114007" w14:textId="77777777" w:rsidR="00F44420" w:rsidRPr="00F44420" w:rsidRDefault="00F44420" w:rsidP="00F44420">
      <w:pPr>
        <w:spacing w:after="0" w:line="240" w:lineRule="auto"/>
        <w:ind w:left="-274" w:right="-360"/>
        <w:jc w:val="center"/>
        <w:rPr>
          <w:i/>
          <w:sz w:val="20"/>
          <w:szCs w:val="20"/>
          <w:lang w:val="fr-FR"/>
        </w:rPr>
      </w:pPr>
      <w:r w:rsidRPr="00F44420">
        <w:rPr>
          <w:i/>
          <w:sz w:val="20"/>
          <w:szCs w:val="20"/>
          <w:lang w:val="fr-FR"/>
        </w:rPr>
        <w:t>Les partenaires de l’Initiative arabe du foncier</w:t>
      </w:r>
    </w:p>
    <w:p w14:paraId="79D22D7F" w14:textId="14F87886" w:rsidR="00F44420" w:rsidRPr="00F44420" w:rsidRDefault="00603662" w:rsidP="00F44420">
      <w:pPr>
        <w:spacing w:line="240" w:lineRule="auto"/>
        <w:rPr>
          <w:lang w:val="fr-FR"/>
        </w:rPr>
      </w:pPr>
      <w:r>
        <w:rPr>
          <w:noProof/>
        </w:rPr>
        <w:drawing>
          <wp:anchor distT="0" distB="0" distL="114300" distR="114300" simplePos="0" relativeHeight="251668480" behindDoc="0" locked="0" layoutInCell="1" allowOverlap="1" wp14:anchorId="22670E34" wp14:editId="7E64B071">
            <wp:simplePos x="0" y="0"/>
            <wp:positionH relativeFrom="column">
              <wp:posOffset>3314700</wp:posOffset>
            </wp:positionH>
            <wp:positionV relativeFrom="paragraph">
              <wp:posOffset>1083310</wp:posOffset>
            </wp:positionV>
            <wp:extent cx="1226820" cy="529590"/>
            <wp:effectExtent l="0" t="0" r="0" b="3810"/>
            <wp:wrapNone/>
            <wp:docPr id="278" name="Picture 278"/>
            <wp:cNvGraphicFramePr/>
            <a:graphic xmlns:a="http://schemas.openxmlformats.org/drawingml/2006/main">
              <a:graphicData uri="http://schemas.openxmlformats.org/drawingml/2006/picture">
                <pic:pic xmlns:pic="http://schemas.openxmlformats.org/drawingml/2006/picture">
                  <pic:nvPicPr>
                    <pic:cNvPr id="278" name="Picture 278"/>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26820" cy="529590"/>
                    </a:xfrm>
                    <a:prstGeom prst="rect">
                      <a:avLst/>
                    </a:prstGeom>
                    <a:noFill/>
                    <a:ln>
                      <a:noFill/>
                    </a:ln>
                  </pic:spPr>
                </pic:pic>
              </a:graphicData>
            </a:graphic>
          </wp:anchor>
        </w:drawing>
      </w:r>
      <w:r>
        <w:rPr>
          <w:noProof/>
        </w:rPr>
        <w:drawing>
          <wp:anchor distT="0" distB="0" distL="114300" distR="114300" simplePos="0" relativeHeight="251667456" behindDoc="0" locked="0" layoutInCell="1" allowOverlap="1" wp14:anchorId="478EB8DD" wp14:editId="15627D11">
            <wp:simplePos x="0" y="0"/>
            <wp:positionH relativeFrom="column">
              <wp:posOffset>3382645</wp:posOffset>
            </wp:positionH>
            <wp:positionV relativeFrom="paragraph">
              <wp:posOffset>713740</wp:posOffset>
            </wp:positionV>
            <wp:extent cx="1851660" cy="350520"/>
            <wp:effectExtent l="0" t="0" r="0" b="0"/>
            <wp:wrapNone/>
            <wp:docPr id="279" name="Picture 279"/>
            <wp:cNvGraphicFramePr/>
            <a:graphic xmlns:a="http://schemas.openxmlformats.org/drawingml/2006/main">
              <a:graphicData uri="http://schemas.openxmlformats.org/drawingml/2006/picture">
                <pic:pic xmlns:pic="http://schemas.openxmlformats.org/drawingml/2006/picture">
                  <pic:nvPicPr>
                    <pic:cNvPr id="279" name="Picture 279"/>
                    <pic:cNvPicPr/>
                  </pic:nvPicPr>
                  <pic:blipFill rotWithShape="1">
                    <a:blip r:embed="rId16">
                      <a:extLst>
                        <a:ext uri="{28A0092B-C50C-407E-A947-70E740481C1C}">
                          <a14:useLocalDpi xmlns:a14="http://schemas.microsoft.com/office/drawing/2010/main" val="0"/>
                        </a:ext>
                      </a:extLst>
                    </a:blip>
                    <a:srcRect t="1" b="31598"/>
                    <a:stretch/>
                  </pic:blipFill>
                  <pic:spPr bwMode="auto">
                    <a:xfrm>
                      <a:off x="0" y="0"/>
                      <a:ext cx="1851660" cy="35052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6432" behindDoc="0" locked="0" layoutInCell="1" allowOverlap="1" wp14:anchorId="1DCBCEF0" wp14:editId="6D87FF85">
            <wp:simplePos x="0" y="0"/>
            <wp:positionH relativeFrom="column">
              <wp:posOffset>4529455</wp:posOffset>
            </wp:positionH>
            <wp:positionV relativeFrom="paragraph">
              <wp:posOffset>297180</wp:posOffset>
            </wp:positionV>
            <wp:extent cx="1809115" cy="400685"/>
            <wp:effectExtent l="0" t="0" r="635" b="0"/>
            <wp:wrapNone/>
            <wp:docPr id="273" name="image9.jpeg" descr="A close up of a logo  Description automatically generated"/>
            <wp:cNvGraphicFramePr/>
            <a:graphic xmlns:a="http://schemas.openxmlformats.org/drawingml/2006/main">
              <a:graphicData uri="http://schemas.openxmlformats.org/drawingml/2006/picture">
                <pic:pic xmlns:pic="http://schemas.openxmlformats.org/drawingml/2006/picture">
                  <pic:nvPicPr>
                    <pic:cNvPr id="273" name="image9.jpeg" descr="A close up of a logo  Description automatically generated"/>
                    <pic:cNvPicPr/>
                  </pic:nvPicPr>
                  <pic:blipFill>
                    <a:blip r:embed="rId17" cstate="print"/>
                    <a:stretch>
                      <a:fillRect/>
                    </a:stretch>
                  </pic:blipFill>
                  <pic:spPr>
                    <a:xfrm>
                      <a:off x="0" y="0"/>
                      <a:ext cx="1809115" cy="400685"/>
                    </a:xfrm>
                    <a:prstGeom prst="rect">
                      <a:avLst/>
                    </a:prstGeom>
                  </pic:spPr>
                </pic:pic>
              </a:graphicData>
            </a:graphic>
          </wp:anchor>
        </w:drawing>
      </w:r>
      <w:r>
        <w:rPr>
          <w:noProof/>
        </w:rPr>
        <w:drawing>
          <wp:anchor distT="0" distB="0" distL="114300" distR="114300" simplePos="0" relativeHeight="251665408" behindDoc="0" locked="0" layoutInCell="1" allowOverlap="1" wp14:anchorId="579DC344" wp14:editId="1453CA63">
            <wp:simplePos x="0" y="0"/>
            <wp:positionH relativeFrom="column">
              <wp:posOffset>0</wp:posOffset>
            </wp:positionH>
            <wp:positionV relativeFrom="paragraph">
              <wp:posOffset>251460</wp:posOffset>
            </wp:positionV>
            <wp:extent cx="1817370" cy="358140"/>
            <wp:effectExtent l="0" t="0" r="0" b="3810"/>
            <wp:wrapNone/>
            <wp:docPr id="271" name="image8.jpeg" descr="A picture containing drawing  Description automatically generated"/>
            <wp:cNvGraphicFramePr/>
            <a:graphic xmlns:a="http://schemas.openxmlformats.org/drawingml/2006/main">
              <a:graphicData uri="http://schemas.openxmlformats.org/drawingml/2006/picture">
                <pic:pic xmlns:pic="http://schemas.openxmlformats.org/drawingml/2006/picture">
                  <pic:nvPicPr>
                    <pic:cNvPr id="271" name="image8.jpeg" descr="A picture containing drawing  Description automatically generated"/>
                    <pic:cNvPicPr/>
                  </pic:nvPicPr>
                  <pic:blipFill>
                    <a:blip r:embed="rId18" cstate="print"/>
                    <a:stretch>
                      <a:fillRect/>
                    </a:stretch>
                  </pic:blipFill>
                  <pic:spPr>
                    <a:xfrm>
                      <a:off x="0" y="0"/>
                      <a:ext cx="1817370" cy="358140"/>
                    </a:xfrm>
                    <a:prstGeom prst="rect">
                      <a:avLst/>
                    </a:prstGeom>
                  </pic:spPr>
                </pic:pic>
              </a:graphicData>
            </a:graphic>
          </wp:anchor>
        </w:drawing>
      </w:r>
      <w:r>
        <w:rPr>
          <w:noProof/>
        </w:rPr>
        <w:drawing>
          <wp:anchor distT="0" distB="0" distL="114300" distR="114300" simplePos="0" relativeHeight="251664384" behindDoc="0" locked="0" layoutInCell="1" allowOverlap="1" wp14:anchorId="314A42D3" wp14:editId="6F511306">
            <wp:simplePos x="0" y="0"/>
            <wp:positionH relativeFrom="column">
              <wp:posOffset>2483485</wp:posOffset>
            </wp:positionH>
            <wp:positionV relativeFrom="paragraph">
              <wp:posOffset>812165</wp:posOffset>
            </wp:positionV>
            <wp:extent cx="591185" cy="589280"/>
            <wp:effectExtent l="0" t="0" r="0" b="1270"/>
            <wp:wrapNone/>
            <wp:docPr id="277" name="image7.jpeg" descr="A sign on the side of a building  Description automatically generated"/>
            <wp:cNvGraphicFramePr/>
            <a:graphic xmlns:a="http://schemas.openxmlformats.org/drawingml/2006/main">
              <a:graphicData uri="http://schemas.openxmlformats.org/drawingml/2006/picture">
                <pic:pic xmlns:pic="http://schemas.openxmlformats.org/drawingml/2006/picture">
                  <pic:nvPicPr>
                    <pic:cNvPr id="277" name="image7.jpeg" descr="A sign on the side of a building  Description automatically generated"/>
                    <pic:cNvPicPr/>
                  </pic:nvPicPr>
                  <pic:blipFill>
                    <a:blip r:embed="rId19" cstate="print"/>
                    <a:stretch>
                      <a:fillRect/>
                    </a:stretch>
                  </pic:blipFill>
                  <pic:spPr>
                    <a:xfrm>
                      <a:off x="0" y="0"/>
                      <a:ext cx="591185" cy="589280"/>
                    </a:xfrm>
                    <a:prstGeom prst="rect">
                      <a:avLst/>
                    </a:prstGeom>
                  </pic:spPr>
                </pic:pic>
              </a:graphicData>
            </a:graphic>
          </wp:anchor>
        </w:drawing>
      </w:r>
      <w:r>
        <w:rPr>
          <w:noProof/>
        </w:rPr>
        <w:drawing>
          <wp:anchor distT="0" distB="0" distL="114300" distR="114300" simplePos="0" relativeHeight="251663360" behindDoc="0" locked="0" layoutInCell="1" allowOverlap="1" wp14:anchorId="75A9DBB9" wp14:editId="58271B59">
            <wp:simplePos x="0" y="0"/>
            <wp:positionH relativeFrom="column">
              <wp:posOffset>5204460</wp:posOffset>
            </wp:positionH>
            <wp:positionV relativeFrom="paragraph">
              <wp:posOffset>769620</wp:posOffset>
            </wp:positionV>
            <wp:extent cx="1150620" cy="873125"/>
            <wp:effectExtent l="0" t="0" r="0" b="3175"/>
            <wp:wrapNone/>
            <wp:docPr id="280" name="image4.jpeg"/>
            <wp:cNvGraphicFramePr/>
            <a:graphic xmlns:a="http://schemas.openxmlformats.org/drawingml/2006/main">
              <a:graphicData uri="http://schemas.openxmlformats.org/drawingml/2006/picture">
                <pic:pic xmlns:pic="http://schemas.openxmlformats.org/drawingml/2006/picture">
                  <pic:nvPicPr>
                    <pic:cNvPr id="280" name="image4.jpeg"/>
                    <pic:cNvPicPr/>
                  </pic:nvPicPr>
                  <pic:blipFill>
                    <a:blip r:embed="rId20" cstate="print"/>
                    <a:stretch>
                      <a:fillRect/>
                    </a:stretch>
                  </pic:blipFill>
                  <pic:spPr>
                    <a:xfrm>
                      <a:off x="0" y="0"/>
                      <a:ext cx="1150620" cy="873125"/>
                    </a:xfrm>
                    <a:prstGeom prst="rect">
                      <a:avLst/>
                    </a:prstGeom>
                  </pic:spPr>
                </pic:pic>
              </a:graphicData>
            </a:graphic>
          </wp:anchor>
        </w:drawing>
      </w:r>
      <w:r>
        <w:rPr>
          <w:noProof/>
        </w:rPr>
        <w:drawing>
          <wp:anchor distT="0" distB="0" distL="114300" distR="114300" simplePos="0" relativeHeight="251662336" behindDoc="0" locked="0" layoutInCell="1" allowOverlap="1" wp14:anchorId="660AA170" wp14:editId="3D35E88C">
            <wp:simplePos x="0" y="0"/>
            <wp:positionH relativeFrom="column">
              <wp:posOffset>1792605</wp:posOffset>
            </wp:positionH>
            <wp:positionV relativeFrom="paragraph">
              <wp:posOffset>814070</wp:posOffset>
            </wp:positionV>
            <wp:extent cx="473710" cy="598805"/>
            <wp:effectExtent l="0" t="0" r="2540" b="0"/>
            <wp:wrapNone/>
            <wp:docPr id="274" name="image3.jpeg" descr="A close up of a logo  Description automatically generated"/>
            <wp:cNvGraphicFramePr/>
            <a:graphic xmlns:a="http://schemas.openxmlformats.org/drawingml/2006/main">
              <a:graphicData uri="http://schemas.openxmlformats.org/drawingml/2006/picture">
                <pic:pic xmlns:pic="http://schemas.openxmlformats.org/drawingml/2006/picture">
                  <pic:nvPicPr>
                    <pic:cNvPr id="274" name="image3.jpeg" descr="A close up of a logo  Description automatically generated"/>
                    <pic:cNvPicPr/>
                  </pic:nvPicPr>
                  <pic:blipFill>
                    <a:blip r:embed="rId21" cstate="print"/>
                    <a:stretch>
                      <a:fillRect/>
                    </a:stretch>
                  </pic:blipFill>
                  <pic:spPr>
                    <a:xfrm>
                      <a:off x="0" y="0"/>
                      <a:ext cx="473710" cy="598805"/>
                    </a:xfrm>
                    <a:prstGeom prst="rect">
                      <a:avLst/>
                    </a:prstGeom>
                  </pic:spPr>
                </pic:pic>
              </a:graphicData>
            </a:graphic>
          </wp:anchor>
        </w:drawing>
      </w:r>
      <w:r>
        <w:rPr>
          <w:noProof/>
        </w:rPr>
        <w:drawing>
          <wp:anchor distT="0" distB="0" distL="114300" distR="114300" simplePos="0" relativeHeight="251661312" behindDoc="0" locked="0" layoutInCell="1" allowOverlap="1" wp14:anchorId="035BB4DC" wp14:editId="3EFAF92C">
            <wp:simplePos x="0" y="0"/>
            <wp:positionH relativeFrom="column">
              <wp:posOffset>2476500</wp:posOffset>
            </wp:positionH>
            <wp:positionV relativeFrom="paragraph">
              <wp:posOffset>252095</wp:posOffset>
            </wp:positionV>
            <wp:extent cx="1392555" cy="452120"/>
            <wp:effectExtent l="0" t="0" r="0" b="5080"/>
            <wp:wrapNone/>
            <wp:docPr id="272" name="image10.jpeg" descr="A picture containing drawing  Description automatically generated"/>
            <wp:cNvGraphicFramePr/>
            <a:graphic xmlns:a="http://schemas.openxmlformats.org/drawingml/2006/main">
              <a:graphicData uri="http://schemas.openxmlformats.org/drawingml/2006/picture">
                <pic:pic xmlns:pic="http://schemas.openxmlformats.org/drawingml/2006/picture">
                  <pic:nvPicPr>
                    <pic:cNvPr id="272" name="image10.jpeg" descr="A picture containing drawing  Description automatically generated"/>
                    <pic:cNvPicPr/>
                  </pic:nvPicPr>
                  <pic:blipFill>
                    <a:blip r:embed="rId22" cstate="print"/>
                    <a:stretch>
                      <a:fillRect/>
                    </a:stretch>
                  </pic:blipFill>
                  <pic:spPr>
                    <a:xfrm>
                      <a:off x="0" y="0"/>
                      <a:ext cx="1392555" cy="452120"/>
                    </a:xfrm>
                    <a:prstGeom prst="rect">
                      <a:avLst/>
                    </a:prstGeom>
                  </pic:spPr>
                </pic:pic>
              </a:graphicData>
            </a:graphic>
          </wp:anchor>
        </w:drawing>
      </w:r>
      <w:r>
        <w:rPr>
          <w:noProof/>
        </w:rPr>
        <w:drawing>
          <wp:anchor distT="0" distB="0" distL="114300" distR="114300" simplePos="0" relativeHeight="251660288" behindDoc="0" locked="0" layoutInCell="1" allowOverlap="1" wp14:anchorId="1B736F1B" wp14:editId="2E459893">
            <wp:simplePos x="0" y="0"/>
            <wp:positionH relativeFrom="column">
              <wp:posOffset>20320</wp:posOffset>
            </wp:positionH>
            <wp:positionV relativeFrom="paragraph">
              <wp:posOffset>1203325</wp:posOffset>
            </wp:positionV>
            <wp:extent cx="1313180" cy="317500"/>
            <wp:effectExtent l="0" t="0" r="1270" b="6350"/>
            <wp:wrapNone/>
            <wp:docPr id="275" name="Picture 275" descr="A picture containing food, light&#10;&#10;Description automatically generated"/>
            <wp:cNvGraphicFramePr/>
            <a:graphic xmlns:a="http://schemas.openxmlformats.org/drawingml/2006/main">
              <a:graphicData uri="http://schemas.openxmlformats.org/drawingml/2006/picture">
                <pic:pic xmlns:pic="http://schemas.openxmlformats.org/drawingml/2006/picture">
                  <pic:nvPicPr>
                    <pic:cNvPr id="275" name="Picture 275" descr="A picture containing food, light&#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1313180" cy="317500"/>
                    </a:xfrm>
                    <a:prstGeom prst="rect">
                      <a:avLst/>
                    </a:prstGeom>
                  </pic:spPr>
                </pic:pic>
              </a:graphicData>
            </a:graphic>
          </wp:anchor>
        </w:drawing>
      </w:r>
      <w:r>
        <w:rPr>
          <w:noProof/>
        </w:rPr>
        <w:drawing>
          <wp:anchor distT="0" distB="0" distL="114300" distR="114300" simplePos="0" relativeHeight="251659264" behindDoc="0" locked="0" layoutInCell="1" allowOverlap="1" wp14:anchorId="52C3060E" wp14:editId="27EF9C22">
            <wp:simplePos x="0" y="0"/>
            <wp:positionH relativeFrom="column">
              <wp:posOffset>14605</wp:posOffset>
            </wp:positionH>
            <wp:positionV relativeFrom="paragraph">
              <wp:posOffset>645160</wp:posOffset>
            </wp:positionV>
            <wp:extent cx="1515110" cy="499110"/>
            <wp:effectExtent l="0" t="0" r="8890" b="0"/>
            <wp:wrapNone/>
            <wp:docPr id="276" name="Picture 276"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276" name="Picture 276" descr="A picture containing drawing&#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515110" cy="499110"/>
                    </a:xfrm>
                    <a:prstGeom prst="rect">
                      <a:avLst/>
                    </a:prstGeom>
                  </pic:spPr>
                </pic:pic>
              </a:graphicData>
            </a:graphic>
          </wp:anchor>
        </w:drawing>
      </w:r>
    </w:p>
    <w:p w14:paraId="3EA1FB66" w14:textId="7ADF71D7" w:rsidR="00823B4F" w:rsidRPr="00F44420" w:rsidRDefault="00823B4F" w:rsidP="00F44420">
      <w:pPr>
        <w:spacing w:after="120" w:line="240" w:lineRule="auto"/>
        <w:ind w:left="-274" w:right="-360"/>
        <w:jc w:val="both"/>
        <w:rPr>
          <w:i/>
          <w:iCs/>
          <w:sz w:val="20"/>
          <w:szCs w:val="20"/>
          <w:lang w:val="fr-FR"/>
        </w:rPr>
      </w:pPr>
    </w:p>
    <w:sectPr w:rsidR="00823B4F" w:rsidRPr="00F44420" w:rsidSect="00AC75E8">
      <w:headerReference w:type="first" r:id="rId25"/>
      <w:pgSz w:w="12240" w:h="15840"/>
      <w:pgMar w:top="1080" w:right="1440" w:bottom="810" w:left="1440" w:header="270" w:footer="2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35D08" w14:textId="77777777" w:rsidR="0052106E" w:rsidRDefault="0052106E" w:rsidP="00F059D4">
      <w:pPr>
        <w:spacing w:after="0" w:line="240" w:lineRule="auto"/>
      </w:pPr>
      <w:r>
        <w:separator/>
      </w:r>
    </w:p>
  </w:endnote>
  <w:endnote w:type="continuationSeparator" w:id="0">
    <w:p w14:paraId="02FFD72E" w14:textId="77777777" w:rsidR="0052106E" w:rsidRDefault="0052106E" w:rsidP="00F05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C0928" w14:textId="77777777" w:rsidR="0052106E" w:rsidRDefault="0052106E" w:rsidP="00F059D4">
      <w:pPr>
        <w:spacing w:after="0" w:line="240" w:lineRule="auto"/>
      </w:pPr>
      <w:r>
        <w:separator/>
      </w:r>
    </w:p>
  </w:footnote>
  <w:footnote w:type="continuationSeparator" w:id="0">
    <w:p w14:paraId="3AA051F1" w14:textId="77777777" w:rsidR="0052106E" w:rsidRDefault="0052106E" w:rsidP="00F059D4">
      <w:pPr>
        <w:spacing w:after="0" w:line="240" w:lineRule="auto"/>
      </w:pPr>
      <w:r>
        <w:continuationSeparator/>
      </w:r>
    </w:p>
  </w:footnote>
  <w:footnote w:id="1">
    <w:p w14:paraId="6DF9DDF3" w14:textId="7C95135E" w:rsidR="006975C4" w:rsidRPr="00F44420" w:rsidRDefault="006975C4" w:rsidP="006975C4">
      <w:pPr>
        <w:pStyle w:val="FootnoteText"/>
        <w:ind w:left="-360" w:right="-450"/>
        <w:rPr>
          <w:lang w:val="fr-FR"/>
        </w:rPr>
      </w:pPr>
      <w:r w:rsidRPr="00F44420">
        <w:rPr>
          <w:rStyle w:val="FootnoteReference"/>
          <w:lang w:val="fr-FR"/>
        </w:rPr>
        <w:footnoteRef/>
      </w:r>
      <w:r w:rsidRPr="00F44420">
        <w:rPr>
          <w:lang w:val="fr-FR"/>
        </w:rPr>
        <w:t xml:space="preserve"> </w:t>
      </w:r>
      <w:r w:rsidR="00F44420" w:rsidRPr="00F44420">
        <w:rPr>
          <w:rFonts w:cstheme="minorHAnsi"/>
          <w:lang w:val="fr-FR"/>
        </w:rPr>
        <w:t>Algérie</w:t>
      </w:r>
      <w:r w:rsidRPr="00F44420">
        <w:rPr>
          <w:rFonts w:cstheme="minorHAnsi"/>
          <w:lang w:val="fr-FR"/>
        </w:rPr>
        <w:t xml:space="preserve">, </w:t>
      </w:r>
      <w:r w:rsidR="00F44420" w:rsidRPr="00F44420">
        <w:rPr>
          <w:rFonts w:cstheme="minorHAnsi"/>
          <w:lang w:val="fr-FR"/>
        </w:rPr>
        <w:t>Bahreïn</w:t>
      </w:r>
      <w:r w:rsidRPr="00F44420">
        <w:rPr>
          <w:rFonts w:cstheme="minorHAnsi"/>
          <w:lang w:val="fr-FR"/>
        </w:rPr>
        <w:t xml:space="preserve">, </w:t>
      </w:r>
      <w:r w:rsidR="00F44420" w:rsidRPr="00F44420">
        <w:rPr>
          <w:rFonts w:cstheme="minorHAnsi"/>
          <w:lang w:val="fr-FR"/>
        </w:rPr>
        <w:t>Comores</w:t>
      </w:r>
      <w:r w:rsidRPr="00F44420">
        <w:rPr>
          <w:rFonts w:cstheme="minorHAnsi"/>
          <w:lang w:val="fr-FR"/>
        </w:rPr>
        <w:t xml:space="preserve">, Djibouti, </w:t>
      </w:r>
      <w:r w:rsidR="00F44420" w:rsidRPr="00F44420">
        <w:rPr>
          <w:rFonts w:cstheme="minorHAnsi"/>
          <w:lang w:val="fr-FR"/>
        </w:rPr>
        <w:t>Égypte</w:t>
      </w:r>
      <w:r w:rsidRPr="00F44420">
        <w:rPr>
          <w:rFonts w:cstheme="minorHAnsi"/>
          <w:lang w:val="fr-FR"/>
        </w:rPr>
        <w:t xml:space="preserve">, Iraq, </w:t>
      </w:r>
      <w:r w:rsidR="00F44420" w:rsidRPr="00F44420">
        <w:rPr>
          <w:rFonts w:cstheme="minorHAnsi"/>
          <w:lang w:val="fr-FR"/>
        </w:rPr>
        <w:t>Jordanie</w:t>
      </w:r>
      <w:r w:rsidRPr="00F44420">
        <w:rPr>
          <w:rFonts w:cstheme="minorHAnsi"/>
          <w:lang w:val="fr-FR"/>
        </w:rPr>
        <w:t xml:space="preserve">, Kuwait, </w:t>
      </w:r>
      <w:r w:rsidR="00F44420" w:rsidRPr="00F44420">
        <w:rPr>
          <w:rFonts w:cstheme="minorHAnsi"/>
          <w:lang w:val="fr-FR"/>
        </w:rPr>
        <w:t>Liban</w:t>
      </w:r>
      <w:r w:rsidRPr="00F44420">
        <w:rPr>
          <w:rFonts w:cstheme="minorHAnsi"/>
          <w:lang w:val="fr-FR"/>
        </w:rPr>
        <w:t xml:space="preserve">, </w:t>
      </w:r>
      <w:r w:rsidR="00F44420" w:rsidRPr="00F44420">
        <w:rPr>
          <w:rFonts w:cstheme="minorHAnsi"/>
          <w:lang w:val="fr-FR"/>
        </w:rPr>
        <w:t>Libye</w:t>
      </w:r>
      <w:r w:rsidRPr="00F44420">
        <w:rPr>
          <w:rFonts w:cstheme="minorHAnsi"/>
          <w:lang w:val="fr-FR"/>
        </w:rPr>
        <w:t xml:space="preserve">, </w:t>
      </w:r>
      <w:r w:rsidR="00F44420" w:rsidRPr="00F44420">
        <w:rPr>
          <w:rFonts w:cstheme="minorHAnsi"/>
          <w:lang w:val="fr-FR"/>
        </w:rPr>
        <w:t>Mauritanie</w:t>
      </w:r>
      <w:r w:rsidRPr="00F44420">
        <w:rPr>
          <w:rFonts w:cstheme="minorHAnsi"/>
          <w:lang w:val="fr-FR"/>
        </w:rPr>
        <w:t xml:space="preserve">, </w:t>
      </w:r>
      <w:r w:rsidR="00F44420" w:rsidRPr="00F44420">
        <w:rPr>
          <w:rFonts w:cstheme="minorHAnsi"/>
          <w:lang w:val="fr-FR"/>
        </w:rPr>
        <w:t>Maroc</w:t>
      </w:r>
      <w:r w:rsidRPr="00F44420">
        <w:rPr>
          <w:rFonts w:cstheme="minorHAnsi"/>
          <w:lang w:val="fr-FR"/>
        </w:rPr>
        <w:t xml:space="preserve">, Oman, Palestine, Qatar, </w:t>
      </w:r>
      <w:r w:rsidR="00F44420" w:rsidRPr="00F44420">
        <w:rPr>
          <w:rFonts w:cstheme="minorHAnsi"/>
          <w:lang w:val="fr-FR"/>
        </w:rPr>
        <w:t>Arabie Saoudite, Somalie</w:t>
      </w:r>
      <w:r w:rsidRPr="00F44420">
        <w:rPr>
          <w:rFonts w:cstheme="minorHAnsi"/>
          <w:lang w:val="fr-FR"/>
        </w:rPr>
        <w:t>, S</w:t>
      </w:r>
      <w:r w:rsidR="00F44420" w:rsidRPr="00F44420">
        <w:rPr>
          <w:rFonts w:cstheme="minorHAnsi"/>
          <w:lang w:val="fr-FR"/>
        </w:rPr>
        <w:t>oudan, Syrie, Tunisie</w:t>
      </w:r>
      <w:r w:rsidRPr="00F44420">
        <w:rPr>
          <w:rFonts w:cstheme="minorHAnsi"/>
          <w:lang w:val="fr-FR"/>
        </w:rPr>
        <w:t xml:space="preserve">, </w:t>
      </w:r>
      <w:r w:rsidR="00F44420" w:rsidRPr="00F44420">
        <w:rPr>
          <w:rFonts w:cstheme="minorHAnsi"/>
          <w:lang w:val="fr-FR"/>
        </w:rPr>
        <w:t>Émirats Arabes Unis et</w:t>
      </w:r>
      <w:r w:rsidRPr="00F44420">
        <w:rPr>
          <w:rFonts w:cstheme="minorHAnsi"/>
          <w:lang w:val="fr-FR"/>
        </w:rPr>
        <w:t xml:space="preserve"> </w:t>
      </w:r>
      <w:r w:rsidR="00F44420" w:rsidRPr="00F44420">
        <w:rPr>
          <w:rFonts w:cstheme="minorHAnsi"/>
          <w:lang w:val="fr-FR"/>
        </w:rPr>
        <w:t>Yémen</w:t>
      </w:r>
      <w:r w:rsidRPr="00F44420">
        <w:rPr>
          <w:rFonts w:cstheme="minorHAnsi"/>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80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5"/>
      <w:gridCol w:w="5130"/>
    </w:tblGrid>
    <w:tr w:rsidR="00174DC5" w:rsidRPr="00174DC5" w14:paraId="397CB421" w14:textId="77777777" w:rsidTr="00174DC5">
      <w:tc>
        <w:tcPr>
          <w:tcW w:w="4675" w:type="dxa"/>
          <w:vAlign w:val="center"/>
        </w:tcPr>
        <w:p w14:paraId="518C245A" w14:textId="77777777" w:rsidR="00174DC5" w:rsidRPr="00174DC5" w:rsidRDefault="00174DC5" w:rsidP="00174DC5">
          <w:pPr>
            <w:tabs>
              <w:tab w:val="center" w:pos="4680"/>
              <w:tab w:val="right" w:pos="9360"/>
            </w:tabs>
            <w:rPr>
              <w:rFonts w:ascii="Calibri" w:eastAsia="Calibri" w:hAnsi="Calibri" w:cs="Arial"/>
            </w:rPr>
          </w:pPr>
          <w:r w:rsidRPr="00174DC5">
            <w:rPr>
              <w:rFonts w:ascii="Calibri" w:eastAsia="Calibri" w:hAnsi="Calibri" w:cs="Arial"/>
              <w:noProof/>
            </w:rPr>
            <w:drawing>
              <wp:anchor distT="0" distB="0" distL="114300" distR="114300" simplePos="0" relativeHeight="251659264" behindDoc="0" locked="0" layoutInCell="1" allowOverlap="1" wp14:anchorId="00171635" wp14:editId="0C496083">
                <wp:simplePos x="0" y="0"/>
                <wp:positionH relativeFrom="margin">
                  <wp:posOffset>-57785</wp:posOffset>
                </wp:positionH>
                <wp:positionV relativeFrom="paragraph">
                  <wp:posOffset>-106045</wp:posOffset>
                </wp:positionV>
                <wp:extent cx="544195" cy="692150"/>
                <wp:effectExtent l="0" t="0" r="8255" b="0"/>
                <wp:wrapSquare wrapText="bothSides"/>
                <wp:docPr id="641" name="Picture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4195" cy="6921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130" w:type="dxa"/>
          <w:vAlign w:val="center"/>
        </w:tcPr>
        <w:p w14:paraId="085B8151" w14:textId="77777777" w:rsidR="00174DC5" w:rsidRPr="00174DC5" w:rsidRDefault="00174DC5" w:rsidP="00174DC5">
          <w:pPr>
            <w:tabs>
              <w:tab w:val="center" w:pos="4680"/>
              <w:tab w:val="right" w:pos="9360"/>
            </w:tabs>
            <w:jc w:val="right"/>
            <w:rPr>
              <w:rFonts w:ascii="Calibri" w:eastAsia="Calibri" w:hAnsi="Calibri" w:cs="Arial"/>
            </w:rPr>
          </w:pPr>
          <w:r w:rsidRPr="00174DC5">
            <w:rPr>
              <w:rFonts w:ascii="Calibri" w:eastAsia="Calibri" w:hAnsi="Calibri" w:cs="Arial"/>
              <w:noProof/>
            </w:rPr>
            <w:drawing>
              <wp:inline distT="0" distB="0" distL="0" distR="0" wp14:anchorId="077327BA" wp14:editId="76083117">
                <wp:extent cx="1147651" cy="764201"/>
                <wp:effectExtent l="0" t="0" r="0" b="0"/>
                <wp:docPr id="642" name="Picture 64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Arab_Land_Logo_version32.jpg"/>
                        <pic:cNvPicPr/>
                      </pic:nvPicPr>
                      <pic:blipFill>
                        <a:blip r:embed="rId2">
                          <a:extLst>
                            <a:ext uri="{28A0092B-C50C-407E-A947-70E740481C1C}">
                              <a14:useLocalDpi xmlns:a14="http://schemas.microsoft.com/office/drawing/2010/main" val="0"/>
                            </a:ext>
                          </a:extLst>
                        </a:blip>
                        <a:stretch>
                          <a:fillRect/>
                        </a:stretch>
                      </pic:blipFill>
                      <pic:spPr>
                        <a:xfrm>
                          <a:off x="0" y="0"/>
                          <a:ext cx="1271979" cy="846989"/>
                        </a:xfrm>
                        <a:prstGeom prst="rect">
                          <a:avLst/>
                        </a:prstGeom>
                      </pic:spPr>
                    </pic:pic>
                  </a:graphicData>
                </a:graphic>
              </wp:inline>
            </w:drawing>
          </w:r>
        </w:p>
      </w:tc>
    </w:tr>
  </w:tbl>
  <w:p w14:paraId="5A1A9E5E" w14:textId="77777777" w:rsidR="00876A19" w:rsidRPr="00AC75E8" w:rsidRDefault="00876A19" w:rsidP="00876A19">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652DC"/>
    <w:multiLevelType w:val="hybridMultilevel"/>
    <w:tmpl w:val="6470A6D0"/>
    <w:lvl w:ilvl="0" w:tplc="E1007D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D64CB"/>
    <w:multiLevelType w:val="hybridMultilevel"/>
    <w:tmpl w:val="AD4A7D7E"/>
    <w:lvl w:ilvl="0" w:tplc="180008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C6FC9"/>
    <w:multiLevelType w:val="hybridMultilevel"/>
    <w:tmpl w:val="5AFE4A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C4D64"/>
    <w:multiLevelType w:val="hybridMultilevel"/>
    <w:tmpl w:val="B6BCFCF8"/>
    <w:lvl w:ilvl="0" w:tplc="148CBE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EF2955"/>
    <w:multiLevelType w:val="hybridMultilevel"/>
    <w:tmpl w:val="67B86A14"/>
    <w:lvl w:ilvl="0" w:tplc="E228B67A">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355395"/>
    <w:multiLevelType w:val="hybridMultilevel"/>
    <w:tmpl w:val="6C963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F76124"/>
    <w:multiLevelType w:val="hybridMultilevel"/>
    <w:tmpl w:val="BF3CED8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33700B25"/>
    <w:multiLevelType w:val="hybridMultilevel"/>
    <w:tmpl w:val="60A284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AF6B2A"/>
    <w:multiLevelType w:val="hybridMultilevel"/>
    <w:tmpl w:val="FDA0789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48867E54"/>
    <w:multiLevelType w:val="hybridMultilevel"/>
    <w:tmpl w:val="8208E604"/>
    <w:lvl w:ilvl="0" w:tplc="744AD2C0">
      <w:start w:val="9"/>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CBA35BE"/>
    <w:multiLevelType w:val="hybridMultilevel"/>
    <w:tmpl w:val="F46A5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0C77B7"/>
    <w:multiLevelType w:val="hybridMultilevel"/>
    <w:tmpl w:val="E3B659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96E0722"/>
    <w:multiLevelType w:val="hybridMultilevel"/>
    <w:tmpl w:val="8D78C3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587FD9"/>
    <w:multiLevelType w:val="hybridMultilevel"/>
    <w:tmpl w:val="22A097B0"/>
    <w:lvl w:ilvl="0" w:tplc="10BC3DB8">
      <w:start w:val="1"/>
      <w:numFmt w:val="decimal"/>
      <w:lvlText w:val="%1."/>
      <w:lvlJc w:val="left"/>
      <w:pPr>
        <w:ind w:left="910" w:hanging="37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64BF46C4"/>
    <w:multiLevelType w:val="hybridMultilevel"/>
    <w:tmpl w:val="36A02B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9A5A51"/>
    <w:multiLevelType w:val="hybridMultilevel"/>
    <w:tmpl w:val="556450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7"/>
  </w:num>
  <w:num w:numId="3">
    <w:abstractNumId w:val="12"/>
  </w:num>
  <w:num w:numId="4">
    <w:abstractNumId w:val="11"/>
  </w:num>
  <w:num w:numId="5">
    <w:abstractNumId w:val="15"/>
  </w:num>
  <w:num w:numId="6">
    <w:abstractNumId w:val="1"/>
  </w:num>
  <w:num w:numId="7">
    <w:abstractNumId w:val="3"/>
  </w:num>
  <w:num w:numId="8">
    <w:abstractNumId w:val="0"/>
  </w:num>
  <w:num w:numId="9">
    <w:abstractNumId w:val="4"/>
  </w:num>
  <w:num w:numId="10">
    <w:abstractNumId w:val="14"/>
  </w:num>
  <w:num w:numId="11">
    <w:abstractNumId w:val="10"/>
  </w:num>
  <w:num w:numId="12">
    <w:abstractNumId w:val="9"/>
  </w:num>
  <w:num w:numId="13">
    <w:abstractNumId w:val="5"/>
  </w:num>
  <w:num w:numId="14">
    <w:abstractNumId w:val="13"/>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0CF"/>
    <w:rsid w:val="00002438"/>
    <w:rsid w:val="0002475D"/>
    <w:rsid w:val="0004721F"/>
    <w:rsid w:val="000A1A9E"/>
    <w:rsid w:val="000A558E"/>
    <w:rsid w:val="000B0092"/>
    <w:rsid w:val="000D05A8"/>
    <w:rsid w:val="000D1AFC"/>
    <w:rsid w:val="000E422B"/>
    <w:rsid w:val="00101481"/>
    <w:rsid w:val="00112365"/>
    <w:rsid w:val="0011580E"/>
    <w:rsid w:val="0011710E"/>
    <w:rsid w:val="00121BBD"/>
    <w:rsid w:val="0014203D"/>
    <w:rsid w:val="00154241"/>
    <w:rsid w:val="00174DC5"/>
    <w:rsid w:val="001E076E"/>
    <w:rsid w:val="00226564"/>
    <w:rsid w:val="00231F87"/>
    <w:rsid w:val="00233055"/>
    <w:rsid w:val="00236D6C"/>
    <w:rsid w:val="00237480"/>
    <w:rsid w:val="002447B5"/>
    <w:rsid w:val="002449DF"/>
    <w:rsid w:val="00246CAF"/>
    <w:rsid w:val="00247101"/>
    <w:rsid w:val="00276A57"/>
    <w:rsid w:val="00280552"/>
    <w:rsid w:val="00292007"/>
    <w:rsid w:val="002C6880"/>
    <w:rsid w:val="002D45D5"/>
    <w:rsid w:val="002E5E93"/>
    <w:rsid w:val="003142B3"/>
    <w:rsid w:val="0033380B"/>
    <w:rsid w:val="0033707B"/>
    <w:rsid w:val="003422BD"/>
    <w:rsid w:val="00375CCD"/>
    <w:rsid w:val="003C5533"/>
    <w:rsid w:val="003D2A3D"/>
    <w:rsid w:val="003F5B12"/>
    <w:rsid w:val="003F72C8"/>
    <w:rsid w:val="00406584"/>
    <w:rsid w:val="00440D02"/>
    <w:rsid w:val="00450B32"/>
    <w:rsid w:val="00453631"/>
    <w:rsid w:val="004628F3"/>
    <w:rsid w:val="00483220"/>
    <w:rsid w:val="004869BA"/>
    <w:rsid w:val="004912DA"/>
    <w:rsid w:val="004A067D"/>
    <w:rsid w:val="004A1EE7"/>
    <w:rsid w:val="004C7677"/>
    <w:rsid w:val="004F6FA9"/>
    <w:rsid w:val="005031AA"/>
    <w:rsid w:val="00503653"/>
    <w:rsid w:val="00517CFB"/>
    <w:rsid w:val="0052106E"/>
    <w:rsid w:val="00524EF0"/>
    <w:rsid w:val="0053567C"/>
    <w:rsid w:val="00563893"/>
    <w:rsid w:val="005659B4"/>
    <w:rsid w:val="00572B29"/>
    <w:rsid w:val="005777C9"/>
    <w:rsid w:val="0058716D"/>
    <w:rsid w:val="0059678B"/>
    <w:rsid w:val="005A64EE"/>
    <w:rsid w:val="005C60CF"/>
    <w:rsid w:val="005C6D0E"/>
    <w:rsid w:val="005E4654"/>
    <w:rsid w:val="005E7126"/>
    <w:rsid w:val="005F745C"/>
    <w:rsid w:val="00603662"/>
    <w:rsid w:val="006405E9"/>
    <w:rsid w:val="00644A1F"/>
    <w:rsid w:val="00694665"/>
    <w:rsid w:val="00695889"/>
    <w:rsid w:val="006975C4"/>
    <w:rsid w:val="006B36CF"/>
    <w:rsid w:val="006C4F78"/>
    <w:rsid w:val="006C73FD"/>
    <w:rsid w:val="007143B6"/>
    <w:rsid w:val="007162E9"/>
    <w:rsid w:val="00717727"/>
    <w:rsid w:val="007424BD"/>
    <w:rsid w:val="007767B9"/>
    <w:rsid w:val="0078543C"/>
    <w:rsid w:val="007C0180"/>
    <w:rsid w:val="007E0178"/>
    <w:rsid w:val="007F0402"/>
    <w:rsid w:val="007F578D"/>
    <w:rsid w:val="00807E3B"/>
    <w:rsid w:val="00822954"/>
    <w:rsid w:val="00823B4F"/>
    <w:rsid w:val="00870253"/>
    <w:rsid w:val="00873231"/>
    <w:rsid w:val="00874B74"/>
    <w:rsid w:val="008752A0"/>
    <w:rsid w:val="00876A19"/>
    <w:rsid w:val="00876C5A"/>
    <w:rsid w:val="00884031"/>
    <w:rsid w:val="00897C33"/>
    <w:rsid w:val="008A4570"/>
    <w:rsid w:val="008B3833"/>
    <w:rsid w:val="008C1961"/>
    <w:rsid w:val="008C5B2C"/>
    <w:rsid w:val="008D4874"/>
    <w:rsid w:val="008F3DE3"/>
    <w:rsid w:val="00965759"/>
    <w:rsid w:val="00977BD5"/>
    <w:rsid w:val="009B736D"/>
    <w:rsid w:val="009E5E12"/>
    <w:rsid w:val="009F3426"/>
    <w:rsid w:val="00A00141"/>
    <w:rsid w:val="00A32B02"/>
    <w:rsid w:val="00A55435"/>
    <w:rsid w:val="00A60024"/>
    <w:rsid w:val="00A61006"/>
    <w:rsid w:val="00A61052"/>
    <w:rsid w:val="00A66C76"/>
    <w:rsid w:val="00AA0AB1"/>
    <w:rsid w:val="00AA6026"/>
    <w:rsid w:val="00AA7475"/>
    <w:rsid w:val="00AB356A"/>
    <w:rsid w:val="00AC0953"/>
    <w:rsid w:val="00AC75E8"/>
    <w:rsid w:val="00AD2339"/>
    <w:rsid w:val="00AD3486"/>
    <w:rsid w:val="00AE5719"/>
    <w:rsid w:val="00B122B7"/>
    <w:rsid w:val="00B37F1B"/>
    <w:rsid w:val="00B45C44"/>
    <w:rsid w:val="00B7177A"/>
    <w:rsid w:val="00BA2A8A"/>
    <w:rsid w:val="00BB7115"/>
    <w:rsid w:val="00BC1AF9"/>
    <w:rsid w:val="00BD1A29"/>
    <w:rsid w:val="00C04358"/>
    <w:rsid w:val="00C23F48"/>
    <w:rsid w:val="00C44F2C"/>
    <w:rsid w:val="00C45CA9"/>
    <w:rsid w:val="00C501A6"/>
    <w:rsid w:val="00C70ED7"/>
    <w:rsid w:val="00C753AF"/>
    <w:rsid w:val="00C824D0"/>
    <w:rsid w:val="00C910D7"/>
    <w:rsid w:val="00C92F07"/>
    <w:rsid w:val="00CA2DF7"/>
    <w:rsid w:val="00CB771B"/>
    <w:rsid w:val="00D069D1"/>
    <w:rsid w:val="00D12A85"/>
    <w:rsid w:val="00D2197D"/>
    <w:rsid w:val="00D32B41"/>
    <w:rsid w:val="00D73C0D"/>
    <w:rsid w:val="00D74FE2"/>
    <w:rsid w:val="00D77EC5"/>
    <w:rsid w:val="00D91463"/>
    <w:rsid w:val="00DA03A1"/>
    <w:rsid w:val="00DD4088"/>
    <w:rsid w:val="00DF6B2C"/>
    <w:rsid w:val="00E00070"/>
    <w:rsid w:val="00E06FB5"/>
    <w:rsid w:val="00E1465A"/>
    <w:rsid w:val="00E2440C"/>
    <w:rsid w:val="00E46BBC"/>
    <w:rsid w:val="00E72C61"/>
    <w:rsid w:val="00E83932"/>
    <w:rsid w:val="00E93BE2"/>
    <w:rsid w:val="00EC5A2E"/>
    <w:rsid w:val="00ED3FE0"/>
    <w:rsid w:val="00EE2A25"/>
    <w:rsid w:val="00EE6CE0"/>
    <w:rsid w:val="00F059D4"/>
    <w:rsid w:val="00F22B0F"/>
    <w:rsid w:val="00F34A09"/>
    <w:rsid w:val="00F428F7"/>
    <w:rsid w:val="00F44420"/>
    <w:rsid w:val="00F5359C"/>
    <w:rsid w:val="00F551AE"/>
    <w:rsid w:val="00F600B0"/>
    <w:rsid w:val="00F60EF9"/>
    <w:rsid w:val="00F83825"/>
    <w:rsid w:val="00FA1DB2"/>
    <w:rsid w:val="00FA4A15"/>
    <w:rsid w:val="00FB492D"/>
    <w:rsid w:val="00FC2D81"/>
    <w:rsid w:val="00FC2ED7"/>
    <w:rsid w:val="00FE3714"/>
    <w:rsid w:val="00FE4B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4DAD6F"/>
  <w15:docId w15:val="{0B7CF286-CC9B-4D00-B502-30CF744F3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67D"/>
    <w:pPr>
      <w:ind w:left="720"/>
      <w:contextualSpacing/>
    </w:pPr>
  </w:style>
  <w:style w:type="paragraph" w:styleId="Header">
    <w:name w:val="header"/>
    <w:basedOn w:val="Normal"/>
    <w:link w:val="HeaderChar"/>
    <w:uiPriority w:val="99"/>
    <w:unhideWhenUsed/>
    <w:rsid w:val="00F059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9D4"/>
  </w:style>
  <w:style w:type="paragraph" w:styleId="Footer">
    <w:name w:val="footer"/>
    <w:basedOn w:val="Normal"/>
    <w:link w:val="FooterChar"/>
    <w:uiPriority w:val="99"/>
    <w:unhideWhenUsed/>
    <w:rsid w:val="00F059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9D4"/>
  </w:style>
  <w:style w:type="table" w:styleId="TableGrid">
    <w:name w:val="Table Grid"/>
    <w:basedOn w:val="TableNormal"/>
    <w:uiPriority w:val="39"/>
    <w:rsid w:val="00F05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9D4"/>
    <w:rPr>
      <w:rFonts w:ascii="Tahoma" w:hAnsi="Tahoma" w:cs="Tahoma"/>
      <w:sz w:val="16"/>
      <w:szCs w:val="16"/>
    </w:rPr>
  </w:style>
  <w:style w:type="character" w:styleId="CommentReference">
    <w:name w:val="annotation reference"/>
    <w:basedOn w:val="DefaultParagraphFont"/>
    <w:uiPriority w:val="99"/>
    <w:semiHidden/>
    <w:unhideWhenUsed/>
    <w:rsid w:val="009E5E12"/>
    <w:rPr>
      <w:sz w:val="16"/>
      <w:szCs w:val="16"/>
    </w:rPr>
  </w:style>
  <w:style w:type="paragraph" w:styleId="CommentText">
    <w:name w:val="annotation text"/>
    <w:basedOn w:val="Normal"/>
    <w:link w:val="CommentTextChar"/>
    <w:uiPriority w:val="99"/>
    <w:unhideWhenUsed/>
    <w:rsid w:val="009E5E12"/>
    <w:pPr>
      <w:spacing w:line="240" w:lineRule="auto"/>
    </w:pPr>
    <w:rPr>
      <w:sz w:val="20"/>
      <w:szCs w:val="20"/>
    </w:rPr>
  </w:style>
  <w:style w:type="character" w:customStyle="1" w:styleId="CommentTextChar">
    <w:name w:val="Comment Text Char"/>
    <w:basedOn w:val="DefaultParagraphFont"/>
    <w:link w:val="CommentText"/>
    <w:uiPriority w:val="99"/>
    <w:rsid w:val="009E5E12"/>
    <w:rPr>
      <w:sz w:val="20"/>
      <w:szCs w:val="20"/>
    </w:rPr>
  </w:style>
  <w:style w:type="paragraph" w:styleId="CommentSubject">
    <w:name w:val="annotation subject"/>
    <w:basedOn w:val="CommentText"/>
    <w:next w:val="CommentText"/>
    <w:link w:val="CommentSubjectChar"/>
    <w:uiPriority w:val="99"/>
    <w:semiHidden/>
    <w:unhideWhenUsed/>
    <w:rsid w:val="009E5E12"/>
    <w:rPr>
      <w:b/>
      <w:bCs/>
    </w:rPr>
  </w:style>
  <w:style w:type="character" w:customStyle="1" w:styleId="CommentSubjectChar">
    <w:name w:val="Comment Subject Char"/>
    <w:basedOn w:val="CommentTextChar"/>
    <w:link w:val="CommentSubject"/>
    <w:uiPriority w:val="99"/>
    <w:semiHidden/>
    <w:rsid w:val="009E5E12"/>
    <w:rPr>
      <w:b/>
      <w:bCs/>
      <w:sz w:val="20"/>
      <w:szCs w:val="20"/>
    </w:rPr>
  </w:style>
  <w:style w:type="paragraph" w:styleId="FootnoteText">
    <w:name w:val="footnote text"/>
    <w:basedOn w:val="Normal"/>
    <w:link w:val="FootnoteTextChar"/>
    <w:uiPriority w:val="99"/>
    <w:semiHidden/>
    <w:unhideWhenUsed/>
    <w:rsid w:val="00F600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00B0"/>
    <w:rPr>
      <w:sz w:val="20"/>
      <w:szCs w:val="20"/>
    </w:rPr>
  </w:style>
  <w:style w:type="character" w:styleId="FootnoteReference">
    <w:name w:val="footnote reference"/>
    <w:basedOn w:val="DefaultParagraphFont"/>
    <w:uiPriority w:val="99"/>
    <w:semiHidden/>
    <w:unhideWhenUsed/>
    <w:rsid w:val="00F600B0"/>
    <w:rPr>
      <w:vertAlign w:val="superscript"/>
    </w:rPr>
  </w:style>
  <w:style w:type="character" w:styleId="Hyperlink">
    <w:name w:val="Hyperlink"/>
    <w:basedOn w:val="DefaultParagraphFont"/>
    <w:uiPriority w:val="99"/>
    <w:unhideWhenUsed/>
    <w:rsid w:val="005031AA"/>
    <w:rPr>
      <w:color w:val="0000FF" w:themeColor="hyperlink"/>
      <w:u w:val="single"/>
    </w:rPr>
  </w:style>
  <w:style w:type="character" w:customStyle="1" w:styleId="NichtaufgelsteErwhnung1">
    <w:name w:val="Nicht aufgelöste Erwähnung1"/>
    <w:basedOn w:val="DefaultParagraphFont"/>
    <w:uiPriority w:val="99"/>
    <w:semiHidden/>
    <w:unhideWhenUsed/>
    <w:rsid w:val="005031AA"/>
    <w:rPr>
      <w:color w:val="605E5C"/>
      <w:shd w:val="clear" w:color="auto" w:fill="E1DFDD"/>
    </w:rPr>
  </w:style>
  <w:style w:type="paragraph" w:styleId="Revision">
    <w:name w:val="Revision"/>
    <w:hidden/>
    <w:uiPriority w:val="99"/>
    <w:semiHidden/>
    <w:rsid w:val="00FA1DB2"/>
    <w:pPr>
      <w:spacing w:after="0" w:line="240" w:lineRule="auto"/>
    </w:pPr>
  </w:style>
  <w:style w:type="character" w:styleId="UnresolvedMention">
    <w:name w:val="Unresolved Mention"/>
    <w:basedOn w:val="DefaultParagraphFont"/>
    <w:uiPriority w:val="99"/>
    <w:semiHidden/>
    <w:unhideWhenUsed/>
    <w:rsid w:val="00DA03A1"/>
    <w:rPr>
      <w:color w:val="605E5C"/>
      <w:shd w:val="clear" w:color="auto" w:fill="E1DFDD"/>
    </w:rPr>
  </w:style>
  <w:style w:type="paragraph" w:customStyle="1" w:styleId="Default">
    <w:name w:val="Default"/>
    <w:rsid w:val="00E83932"/>
    <w:pPr>
      <w:autoSpaceDE w:val="0"/>
      <w:autoSpaceDN w:val="0"/>
      <w:adjustRightInd w:val="0"/>
      <w:spacing w:after="0" w:line="240" w:lineRule="auto"/>
    </w:pPr>
    <w:rPr>
      <w:rFonts w:ascii="Calibri" w:hAnsi="Calibri" w:cs="Calibri"/>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1905585">
      <w:bodyDiv w:val="1"/>
      <w:marLeft w:val="0"/>
      <w:marRight w:val="0"/>
      <w:marTop w:val="0"/>
      <w:marBottom w:val="0"/>
      <w:divBdr>
        <w:top w:val="none" w:sz="0" w:space="0" w:color="auto"/>
        <w:left w:val="none" w:sz="0" w:space="0" w:color="auto"/>
        <w:bottom w:val="none" w:sz="0" w:space="0" w:color="auto"/>
        <w:right w:val="none" w:sz="0" w:space="0" w:color="auto"/>
      </w:divBdr>
    </w:div>
    <w:div w:id="1663002570">
      <w:bodyDiv w:val="1"/>
      <w:marLeft w:val="0"/>
      <w:marRight w:val="0"/>
      <w:marTop w:val="0"/>
      <w:marBottom w:val="0"/>
      <w:divBdr>
        <w:top w:val="none" w:sz="0" w:space="0" w:color="auto"/>
        <w:left w:val="none" w:sz="0" w:space="0" w:color="auto"/>
        <w:bottom w:val="none" w:sz="0" w:space="0" w:color="auto"/>
        <w:right w:val="none" w:sz="0" w:space="0" w:color="auto"/>
      </w:divBdr>
    </w:div>
    <w:div w:id="199440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habitat-arablandinitiative@un.org" TargetMode="External"/><Relationship Id="rId13" Type="http://schemas.openxmlformats.org/officeDocument/2006/relationships/hyperlink" Target="mailto:el.benmokhtar@un.org" TargetMode="External"/><Relationship Id="rId18" Type="http://schemas.openxmlformats.org/officeDocument/2006/relationships/image" Target="media/image4.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mailto:ombretta.tempra@un.org" TargetMode="External"/><Relationship Id="rId17" Type="http://schemas.openxmlformats.org/officeDocument/2006/relationships/image" Target="media/image3.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aa_elsherif@yahoo.com" TargetMode="External"/><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image" Target="media/image9.png"/><Relationship Id="rId10" Type="http://schemas.openxmlformats.org/officeDocument/2006/relationships/hyperlink" Target="https://arabstates.gltn.net/"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s://arabstates.gltn.net/" TargetMode="External"/><Relationship Id="rId14" Type="http://schemas.openxmlformats.org/officeDocument/2006/relationships/hyperlink" Target="mailto:wzakout@worldbank.org" TargetMode="External"/><Relationship Id="rId22" Type="http://schemas.openxmlformats.org/officeDocument/2006/relationships/image" Target="media/image8.jpe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2.jpg"/><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9BC8B-605F-3442-9140-7C900DE88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1022</Words>
  <Characters>5829</Characters>
  <Application>Microsoft Office Word</Application>
  <DocSecurity>0</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Nicolo Bedino(Affiliate)</cp:lastModifiedBy>
  <cp:revision>10</cp:revision>
  <cp:lastPrinted>2020-05-21T10:16:00Z</cp:lastPrinted>
  <dcterms:created xsi:type="dcterms:W3CDTF">2020-10-12T08:14:00Z</dcterms:created>
  <dcterms:modified xsi:type="dcterms:W3CDTF">2020-12-01T12:05:00Z</dcterms:modified>
</cp:coreProperties>
</file>